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42C76" w14:textId="7F887EB7" w:rsidR="00884E5D" w:rsidRPr="00884E5D" w:rsidRDefault="00884E5D" w:rsidP="00884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Garamond" w:hAnsi="Garamond" w:cs="Garamond"/>
          <w:b/>
        </w:rPr>
      </w:pPr>
      <w:r w:rsidRPr="00884E5D">
        <w:rPr>
          <w:rFonts w:ascii="Garamond" w:eastAsia="Garamond" w:hAnsi="Garamond" w:cs="Garamond"/>
          <w:b/>
        </w:rPr>
        <w:t>Modelo de Ecuaciones Estructurales (Con estimación PLS) basado en calidad de servicio y lealtad del Cliente de las Cajas Rurales Peruanas</w:t>
      </w:r>
    </w:p>
    <w:p w14:paraId="6EBA6383" w14:textId="77777777" w:rsidR="00884E5D" w:rsidRPr="003F5529" w:rsidRDefault="00884E5D" w:rsidP="00884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Garamond" w:hAnsi="Garamond" w:cs="Garamond"/>
          <w:b/>
          <w:lang w:val="en-US"/>
        </w:rPr>
      </w:pPr>
      <w:r w:rsidRPr="003F5529">
        <w:rPr>
          <w:rFonts w:ascii="Garamond" w:eastAsia="Garamond" w:hAnsi="Garamond" w:cs="Garamond"/>
          <w:b/>
          <w:lang w:val="en-US"/>
        </w:rPr>
        <w:t>Structural Equations model (With PLS estimate) based on service quality and customer loyalty of Peruvian Rural Savings Banks</w:t>
      </w:r>
    </w:p>
    <w:p w14:paraId="6BE31FE1" w14:textId="77777777" w:rsidR="002316EB" w:rsidRPr="00B8669F" w:rsidRDefault="002316EB" w:rsidP="00895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eastAsia="Garamond" w:hAnsi="Garamond" w:cs="Garamond"/>
          <w:b/>
          <w:lang w:val="en-US"/>
        </w:rPr>
      </w:pPr>
    </w:p>
    <w:p w14:paraId="034AF014" w14:textId="42EAB125" w:rsidR="002316EB" w:rsidRPr="003F5529" w:rsidRDefault="00884E5D" w:rsidP="00884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z w:val="20"/>
          <w:szCs w:val="20"/>
          <w:lang w:val="es-AR"/>
        </w:rPr>
      </w:pPr>
      <w:r w:rsidRPr="003F5529">
        <w:rPr>
          <w:b/>
          <w:sz w:val="20"/>
          <w:szCs w:val="20"/>
          <w:lang w:val="es-AR"/>
        </w:rPr>
        <w:t>Artículo Científico.</w:t>
      </w:r>
    </w:p>
    <w:p w14:paraId="2A20AF1D" w14:textId="77777777" w:rsidR="00884E5D" w:rsidRPr="003F5529" w:rsidRDefault="00884E5D" w:rsidP="00884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z w:val="20"/>
          <w:szCs w:val="20"/>
          <w:lang w:val="es-AR"/>
        </w:rPr>
      </w:pPr>
    </w:p>
    <w:p w14:paraId="4A020B42" w14:textId="77777777" w:rsidR="00884E5D" w:rsidRPr="00EB330C" w:rsidRDefault="00884E5D" w:rsidP="00884E5D">
      <w:pPr>
        <w:spacing w:after="0" w:line="240" w:lineRule="auto"/>
        <w:ind w:hanging="2"/>
        <w:jc w:val="both"/>
        <w:rPr>
          <w:rFonts w:eastAsia="Roboto" w:cstheme="minorHAnsi"/>
          <w:sz w:val="20"/>
          <w:szCs w:val="20"/>
          <w:highlight w:val="white"/>
        </w:rPr>
      </w:pPr>
      <w:r w:rsidRPr="00EB330C">
        <w:rPr>
          <w:rFonts w:eastAsia="Roboto" w:cstheme="minorHAnsi"/>
          <w:sz w:val="20"/>
          <w:szCs w:val="20"/>
          <w:highlight w:val="white"/>
        </w:rPr>
        <w:t xml:space="preserve">Autor 1.  Cesar Norabuena Mendoza. </w:t>
      </w:r>
    </w:p>
    <w:p w14:paraId="2A507EFC" w14:textId="0993AA24" w:rsidR="00884E5D" w:rsidRPr="00D4186A" w:rsidRDefault="00EB330C" w:rsidP="00884E5D">
      <w:pPr>
        <w:spacing w:after="0" w:line="240" w:lineRule="auto"/>
        <w:ind w:hanging="2"/>
        <w:jc w:val="both"/>
        <w:rPr>
          <w:rFonts w:eastAsia="Roboto" w:cstheme="minorHAnsi"/>
          <w:color w:val="808080" w:themeColor="background1" w:themeShade="80"/>
          <w:sz w:val="20"/>
          <w:szCs w:val="20"/>
          <w:highlight w:val="white"/>
        </w:rPr>
      </w:pPr>
      <w:hyperlink r:id="rId7" w:history="1">
        <w:r w:rsidRPr="00D4186A">
          <w:rPr>
            <w:rStyle w:val="Hipervnculo"/>
            <w:rFonts w:eastAsia="Roboto" w:cstheme="minorHAnsi"/>
            <w:color w:val="808080" w:themeColor="background1" w:themeShade="80"/>
            <w:sz w:val="20"/>
            <w:szCs w:val="20"/>
            <w:highlight w:val="white"/>
          </w:rPr>
          <w:t>https://orcid.org/0000-0001-9832-5126</w:t>
        </w:r>
      </w:hyperlink>
    </w:p>
    <w:p w14:paraId="3B48CC5A" w14:textId="77777777" w:rsidR="00884E5D" w:rsidRPr="00EB330C" w:rsidRDefault="00884E5D" w:rsidP="00884E5D">
      <w:pPr>
        <w:spacing w:after="0" w:line="240" w:lineRule="auto"/>
        <w:ind w:hanging="2"/>
        <w:jc w:val="both"/>
        <w:rPr>
          <w:rFonts w:eastAsia="Roboto" w:cstheme="minorHAnsi"/>
          <w:sz w:val="20"/>
          <w:szCs w:val="20"/>
          <w:highlight w:val="white"/>
        </w:rPr>
      </w:pPr>
      <w:r w:rsidRPr="00EB330C">
        <w:rPr>
          <w:rFonts w:eastAsia="Roboto" w:cstheme="minorHAnsi"/>
          <w:sz w:val="20"/>
          <w:szCs w:val="20"/>
          <w:highlight w:val="white"/>
        </w:rPr>
        <w:t xml:space="preserve">Correo electrónico. </w:t>
      </w:r>
      <w:hyperlink r:id="rId8" w:history="1">
        <w:r w:rsidRPr="00EB330C">
          <w:rPr>
            <w:rFonts w:eastAsia="Roboto" w:cstheme="minorHAnsi"/>
            <w:sz w:val="20"/>
            <w:szCs w:val="20"/>
            <w:highlight w:val="white"/>
          </w:rPr>
          <w:t>cehenome@hotmail.com</w:t>
        </w:r>
      </w:hyperlink>
    </w:p>
    <w:p w14:paraId="69317EED" w14:textId="77777777" w:rsidR="00884E5D" w:rsidRPr="00EB330C" w:rsidRDefault="00884E5D" w:rsidP="00884E5D">
      <w:pPr>
        <w:spacing w:after="0" w:line="240" w:lineRule="auto"/>
        <w:ind w:hanging="2"/>
        <w:jc w:val="both"/>
        <w:rPr>
          <w:rFonts w:eastAsia="Roboto" w:cstheme="minorHAnsi"/>
          <w:sz w:val="20"/>
          <w:szCs w:val="20"/>
          <w:highlight w:val="white"/>
        </w:rPr>
      </w:pPr>
      <w:r w:rsidRPr="00EB330C">
        <w:rPr>
          <w:rFonts w:eastAsia="Roboto" w:cstheme="minorHAnsi"/>
          <w:sz w:val="20"/>
          <w:szCs w:val="20"/>
          <w:highlight w:val="white"/>
        </w:rPr>
        <w:t>Filiación Institucional. Universidad Católica Los Ángeles de Chimbote. Perú.</w:t>
      </w:r>
    </w:p>
    <w:p w14:paraId="28D46BA6" w14:textId="57FEE8B0" w:rsidR="00884E5D" w:rsidRPr="00EB330C" w:rsidRDefault="00884E5D" w:rsidP="00884E5D">
      <w:pPr>
        <w:spacing w:after="0" w:line="240" w:lineRule="auto"/>
        <w:ind w:hanging="2"/>
        <w:jc w:val="both"/>
        <w:rPr>
          <w:rFonts w:eastAsia="Roboto" w:cstheme="minorHAnsi"/>
          <w:sz w:val="20"/>
          <w:szCs w:val="20"/>
          <w:highlight w:val="white"/>
        </w:rPr>
      </w:pPr>
    </w:p>
    <w:p w14:paraId="603890A7" w14:textId="485027F9" w:rsidR="00884E5D" w:rsidRPr="00EB330C" w:rsidRDefault="00884E5D" w:rsidP="00884E5D">
      <w:pPr>
        <w:spacing w:after="0" w:line="240" w:lineRule="auto"/>
        <w:ind w:hanging="2"/>
        <w:jc w:val="both"/>
        <w:rPr>
          <w:rFonts w:eastAsia="Roboto" w:cstheme="minorHAnsi"/>
          <w:sz w:val="20"/>
          <w:szCs w:val="20"/>
          <w:highlight w:val="white"/>
        </w:rPr>
      </w:pPr>
      <w:r w:rsidRPr="00EB330C">
        <w:rPr>
          <w:rFonts w:eastAsia="Roboto" w:cstheme="minorHAnsi"/>
          <w:sz w:val="20"/>
          <w:szCs w:val="20"/>
          <w:highlight w:val="white"/>
        </w:rPr>
        <w:t xml:space="preserve">Autor 2.  Antonio Huamán Osorio. </w:t>
      </w:r>
    </w:p>
    <w:p w14:paraId="10B4E888" w14:textId="4BBE1C5E" w:rsidR="00884E5D" w:rsidRPr="00D4186A" w:rsidRDefault="00EB330C" w:rsidP="00884E5D">
      <w:pPr>
        <w:spacing w:after="0" w:line="240" w:lineRule="auto"/>
        <w:ind w:hanging="2"/>
        <w:jc w:val="both"/>
        <w:rPr>
          <w:rFonts w:eastAsia="Roboto" w:cstheme="minorHAnsi"/>
          <w:color w:val="808080" w:themeColor="background1" w:themeShade="80"/>
          <w:sz w:val="20"/>
          <w:szCs w:val="20"/>
          <w:highlight w:val="white"/>
        </w:rPr>
      </w:pPr>
      <w:hyperlink r:id="rId9" w:history="1">
        <w:r w:rsidRPr="00D4186A">
          <w:rPr>
            <w:rStyle w:val="Hipervnculo"/>
            <w:rFonts w:eastAsia="Roboto" w:cstheme="minorHAnsi"/>
            <w:color w:val="808080" w:themeColor="background1" w:themeShade="80"/>
            <w:sz w:val="20"/>
            <w:szCs w:val="20"/>
            <w:highlight w:val="white"/>
          </w:rPr>
          <w:t>https://orcid.org/0000-0002-7442-2965</w:t>
        </w:r>
      </w:hyperlink>
    </w:p>
    <w:p w14:paraId="558580C7" w14:textId="68DE8C55" w:rsidR="00884E5D" w:rsidRPr="00EB330C" w:rsidRDefault="00884E5D" w:rsidP="00884E5D">
      <w:pPr>
        <w:spacing w:after="0" w:line="240" w:lineRule="auto"/>
        <w:ind w:hanging="2"/>
        <w:jc w:val="both"/>
        <w:rPr>
          <w:rFonts w:eastAsia="Roboto" w:cstheme="minorHAnsi"/>
          <w:sz w:val="20"/>
          <w:szCs w:val="20"/>
          <w:highlight w:val="white"/>
        </w:rPr>
      </w:pPr>
      <w:r w:rsidRPr="00EB330C">
        <w:rPr>
          <w:rFonts w:eastAsia="Roboto" w:cstheme="minorHAnsi"/>
          <w:sz w:val="20"/>
          <w:szCs w:val="20"/>
          <w:highlight w:val="white"/>
        </w:rPr>
        <w:t xml:space="preserve">Correo electrónico. </w:t>
      </w:r>
      <w:hyperlink r:id="rId10" w:history="1">
        <w:r w:rsidRPr="00EB330C">
          <w:rPr>
            <w:rFonts w:eastAsia="Roboto" w:cstheme="minorHAnsi"/>
            <w:sz w:val="20"/>
            <w:szCs w:val="20"/>
            <w:highlight w:val="white"/>
          </w:rPr>
          <w:t>ahuamano@unasam.edu.pe</w:t>
        </w:r>
      </w:hyperlink>
    </w:p>
    <w:p w14:paraId="7DAA3439" w14:textId="46A33FAF" w:rsidR="00884E5D" w:rsidRPr="00EB330C" w:rsidRDefault="00884E5D" w:rsidP="00884E5D">
      <w:pPr>
        <w:spacing w:after="0" w:line="240" w:lineRule="auto"/>
        <w:ind w:hanging="2"/>
        <w:jc w:val="both"/>
        <w:rPr>
          <w:rFonts w:eastAsia="Roboto" w:cstheme="minorHAnsi"/>
          <w:sz w:val="20"/>
          <w:szCs w:val="20"/>
          <w:highlight w:val="white"/>
        </w:rPr>
      </w:pPr>
      <w:r w:rsidRPr="00EB330C">
        <w:rPr>
          <w:rFonts w:eastAsia="Roboto" w:cstheme="minorHAnsi"/>
          <w:sz w:val="20"/>
          <w:szCs w:val="20"/>
          <w:highlight w:val="white"/>
        </w:rPr>
        <w:t>Filiación Institucional. Universidad Nacional Santiago Antúnez de Mayolo. Perú.</w:t>
      </w:r>
    </w:p>
    <w:p w14:paraId="78327DDE" w14:textId="77777777" w:rsidR="00884E5D" w:rsidRPr="00EB330C" w:rsidRDefault="00884E5D" w:rsidP="00884E5D">
      <w:pPr>
        <w:spacing w:after="0" w:line="240" w:lineRule="auto"/>
        <w:ind w:hanging="2"/>
        <w:jc w:val="both"/>
        <w:rPr>
          <w:rFonts w:eastAsia="Roboto" w:cstheme="minorHAnsi"/>
          <w:sz w:val="20"/>
          <w:szCs w:val="20"/>
          <w:highlight w:val="white"/>
        </w:rPr>
      </w:pPr>
    </w:p>
    <w:p w14:paraId="6697F88B" w14:textId="1986DAA9" w:rsidR="00AC74A6" w:rsidRPr="00AC74A6" w:rsidRDefault="00AC74A6" w:rsidP="00AC74A6">
      <w:pPr>
        <w:spacing w:after="0" w:line="240" w:lineRule="auto"/>
        <w:ind w:hanging="2"/>
        <w:jc w:val="both"/>
        <w:rPr>
          <w:rFonts w:eastAsia="Roboto" w:cstheme="minorHAnsi"/>
          <w:sz w:val="20"/>
          <w:szCs w:val="20"/>
          <w:highlight w:val="white"/>
        </w:rPr>
      </w:pPr>
      <w:r w:rsidRPr="00EB330C">
        <w:rPr>
          <w:rFonts w:eastAsia="Roboto" w:cstheme="minorHAnsi"/>
          <w:sz w:val="20"/>
          <w:szCs w:val="20"/>
          <w:highlight w:val="white"/>
        </w:rPr>
        <w:t>Autor 3.  Edwin</w:t>
      </w:r>
      <w:r w:rsidRPr="00AC74A6">
        <w:rPr>
          <w:rFonts w:eastAsia="Roboto" w:cstheme="minorHAnsi"/>
          <w:sz w:val="20"/>
          <w:szCs w:val="20"/>
          <w:highlight w:val="white"/>
        </w:rPr>
        <w:t xml:space="preserve"> Ramirez Asís</w:t>
      </w:r>
      <w:r>
        <w:rPr>
          <w:rFonts w:eastAsia="Roboto" w:cstheme="minorHAnsi"/>
          <w:sz w:val="20"/>
          <w:szCs w:val="20"/>
          <w:highlight w:val="white"/>
        </w:rPr>
        <w:t>.</w:t>
      </w:r>
      <w:r w:rsidRPr="0072546C">
        <w:rPr>
          <w:rFonts w:eastAsia="Roboto" w:cstheme="minorHAnsi"/>
          <w:sz w:val="20"/>
          <w:szCs w:val="20"/>
          <w:highlight w:val="white"/>
        </w:rPr>
        <w:t xml:space="preserve"> </w:t>
      </w:r>
    </w:p>
    <w:p w14:paraId="71B47DD7" w14:textId="28B0BE1D" w:rsidR="00AC74A6" w:rsidRPr="00D4186A" w:rsidRDefault="00EB330C" w:rsidP="00AC74A6">
      <w:pPr>
        <w:spacing w:after="0" w:line="240" w:lineRule="auto"/>
        <w:ind w:hanging="2"/>
        <w:jc w:val="both"/>
        <w:rPr>
          <w:rFonts w:eastAsia="Roboto" w:cstheme="minorHAnsi"/>
          <w:color w:val="808080" w:themeColor="background1" w:themeShade="80"/>
          <w:sz w:val="20"/>
          <w:szCs w:val="20"/>
          <w:highlight w:val="white"/>
        </w:rPr>
      </w:pPr>
      <w:hyperlink r:id="rId11" w:history="1">
        <w:r w:rsidRPr="00D4186A">
          <w:rPr>
            <w:rStyle w:val="Hipervnculo"/>
            <w:rFonts w:eastAsia="Roboto" w:cstheme="minorHAnsi"/>
            <w:color w:val="808080" w:themeColor="background1" w:themeShade="80"/>
            <w:sz w:val="20"/>
            <w:szCs w:val="20"/>
            <w:highlight w:val="white"/>
          </w:rPr>
          <w:t>https://orcid.org/0000-0002-9918-7607</w:t>
        </w:r>
      </w:hyperlink>
    </w:p>
    <w:p w14:paraId="4239AD60" w14:textId="52ECD4FE" w:rsidR="00AC74A6" w:rsidRPr="00884E5D" w:rsidRDefault="00AC74A6" w:rsidP="00AC74A6">
      <w:pPr>
        <w:spacing w:after="0" w:line="240" w:lineRule="auto"/>
        <w:ind w:hanging="2"/>
        <w:jc w:val="both"/>
        <w:rPr>
          <w:rFonts w:eastAsia="Roboto" w:cstheme="minorHAnsi"/>
          <w:sz w:val="20"/>
          <w:szCs w:val="20"/>
          <w:highlight w:val="white"/>
        </w:rPr>
      </w:pPr>
      <w:r w:rsidRPr="009B6E1A">
        <w:rPr>
          <w:rFonts w:eastAsia="Roboto" w:cstheme="minorHAnsi"/>
          <w:sz w:val="20"/>
          <w:szCs w:val="20"/>
          <w:highlight w:val="white"/>
        </w:rPr>
        <w:t xml:space="preserve">Correo electrónico. </w:t>
      </w:r>
      <w:hyperlink r:id="rId12" w:history="1">
        <w:r w:rsidRPr="00AC74A6">
          <w:rPr>
            <w:rFonts w:eastAsia="Roboto" w:cstheme="minorHAnsi"/>
            <w:sz w:val="20"/>
            <w:szCs w:val="20"/>
            <w:highlight w:val="white"/>
          </w:rPr>
          <w:t>edwin.ramirez@usanpedro.edu.pe</w:t>
        </w:r>
      </w:hyperlink>
    </w:p>
    <w:p w14:paraId="10AD2416" w14:textId="77777777" w:rsidR="00AC74A6" w:rsidRPr="00AC74A6" w:rsidRDefault="00AC74A6" w:rsidP="00AC74A6">
      <w:pPr>
        <w:spacing w:after="0" w:line="240" w:lineRule="auto"/>
        <w:ind w:hanging="2"/>
        <w:jc w:val="both"/>
        <w:rPr>
          <w:rFonts w:eastAsia="Roboto" w:cstheme="minorHAnsi"/>
          <w:sz w:val="20"/>
          <w:szCs w:val="20"/>
          <w:highlight w:val="white"/>
        </w:rPr>
      </w:pPr>
      <w:r w:rsidRPr="009B6E1A">
        <w:rPr>
          <w:rFonts w:eastAsia="Roboto" w:cstheme="minorHAnsi"/>
          <w:sz w:val="20"/>
          <w:szCs w:val="20"/>
          <w:highlight w:val="white"/>
        </w:rPr>
        <w:t xml:space="preserve">Filiación Institucional. </w:t>
      </w:r>
      <w:r w:rsidRPr="00AC74A6">
        <w:rPr>
          <w:rFonts w:eastAsia="Roboto" w:cstheme="minorHAnsi"/>
          <w:sz w:val="20"/>
          <w:szCs w:val="20"/>
          <w:highlight w:val="white"/>
        </w:rPr>
        <w:t>Universidad San Pedro. Perú.</w:t>
      </w:r>
    </w:p>
    <w:p w14:paraId="5B92E8FD" w14:textId="77777777" w:rsidR="003451F6" w:rsidRDefault="003451F6" w:rsidP="00AC74A6">
      <w:pPr>
        <w:spacing w:after="0" w:line="240" w:lineRule="auto"/>
        <w:ind w:hanging="2"/>
        <w:jc w:val="both"/>
        <w:rPr>
          <w:rFonts w:eastAsia="Roboto" w:cstheme="minorHAnsi"/>
          <w:sz w:val="20"/>
          <w:szCs w:val="20"/>
          <w:highlight w:val="white"/>
        </w:rPr>
      </w:pPr>
    </w:p>
    <w:p w14:paraId="075EF10C" w14:textId="08A04B97" w:rsidR="00AC74A6" w:rsidRPr="00AC74A6" w:rsidRDefault="00884E5D" w:rsidP="00AC74A6">
      <w:pPr>
        <w:spacing w:after="0" w:line="240" w:lineRule="auto"/>
        <w:ind w:hanging="2"/>
        <w:jc w:val="both"/>
        <w:rPr>
          <w:rFonts w:eastAsia="Roboto" w:cstheme="minorHAnsi"/>
          <w:sz w:val="20"/>
          <w:szCs w:val="20"/>
          <w:highlight w:val="white"/>
        </w:rPr>
      </w:pPr>
      <w:r w:rsidRPr="009B6E1A">
        <w:rPr>
          <w:rFonts w:eastAsia="Roboto" w:cstheme="minorHAnsi"/>
          <w:sz w:val="20"/>
          <w:szCs w:val="20"/>
          <w:highlight w:val="white"/>
        </w:rPr>
        <w:t>Revista Ciencias Administrativas. Año 9. N° 1</w:t>
      </w:r>
      <w:r w:rsidR="00AC74A6">
        <w:rPr>
          <w:rFonts w:eastAsia="Roboto" w:cstheme="minorHAnsi"/>
          <w:sz w:val="20"/>
          <w:szCs w:val="20"/>
          <w:highlight w:val="white"/>
        </w:rPr>
        <w:t>8</w:t>
      </w:r>
      <w:r w:rsidRPr="009B6E1A">
        <w:rPr>
          <w:rFonts w:eastAsia="Roboto" w:cstheme="minorHAnsi"/>
          <w:sz w:val="20"/>
          <w:szCs w:val="20"/>
          <w:highlight w:val="white"/>
        </w:rPr>
        <w:t xml:space="preserve"> </w:t>
      </w:r>
      <w:r w:rsidR="00AC74A6">
        <w:rPr>
          <w:rFonts w:eastAsia="Roboto" w:cstheme="minorHAnsi"/>
          <w:sz w:val="20"/>
          <w:szCs w:val="20"/>
          <w:highlight w:val="white"/>
        </w:rPr>
        <w:t>Julio Diciembre</w:t>
      </w:r>
      <w:r w:rsidR="003451F6">
        <w:rPr>
          <w:rFonts w:eastAsia="Roboto" w:cstheme="minorHAnsi"/>
          <w:sz w:val="20"/>
          <w:szCs w:val="20"/>
          <w:highlight w:val="white"/>
        </w:rPr>
        <w:t xml:space="preserve"> </w:t>
      </w:r>
      <w:r w:rsidRPr="009B6E1A">
        <w:rPr>
          <w:rFonts w:eastAsia="Roboto" w:cstheme="minorHAnsi"/>
          <w:sz w:val="20"/>
          <w:szCs w:val="20"/>
          <w:highlight w:val="white"/>
        </w:rPr>
        <w:t>2021.</w:t>
      </w:r>
      <w:r w:rsidR="00AC74A6">
        <w:rPr>
          <w:rFonts w:eastAsia="Roboto" w:cstheme="minorHAnsi"/>
          <w:sz w:val="20"/>
          <w:szCs w:val="20"/>
          <w:highlight w:val="white"/>
        </w:rPr>
        <w:t xml:space="preserve"> </w:t>
      </w:r>
    </w:p>
    <w:p w14:paraId="48AA96B9" w14:textId="77777777" w:rsidR="00AC74A6" w:rsidRPr="00AC74A6" w:rsidRDefault="00AC74A6" w:rsidP="00AC74A6">
      <w:pPr>
        <w:spacing w:after="0" w:line="240" w:lineRule="auto"/>
        <w:ind w:hanging="2"/>
        <w:jc w:val="both"/>
        <w:rPr>
          <w:rFonts w:eastAsia="Roboto" w:cstheme="minorHAnsi"/>
          <w:sz w:val="20"/>
          <w:szCs w:val="20"/>
          <w:highlight w:val="white"/>
        </w:rPr>
      </w:pPr>
      <w:r w:rsidRPr="00AC74A6">
        <w:rPr>
          <w:rFonts w:eastAsia="Roboto" w:cstheme="minorHAnsi"/>
          <w:sz w:val="20"/>
          <w:szCs w:val="20"/>
          <w:highlight w:val="white"/>
        </w:rPr>
        <w:t>https://doi.org/10.24215/23143738e081</w:t>
      </w:r>
    </w:p>
    <w:p w14:paraId="536515FE" w14:textId="08809522" w:rsidR="00AC74A6" w:rsidRPr="003F5529" w:rsidRDefault="00AC74A6" w:rsidP="00AC74A6">
      <w:pPr>
        <w:spacing w:after="0" w:line="240" w:lineRule="auto"/>
        <w:ind w:hanging="2"/>
        <w:jc w:val="both"/>
        <w:rPr>
          <w:rFonts w:eastAsia="Roboto" w:cstheme="minorHAnsi"/>
          <w:sz w:val="20"/>
          <w:szCs w:val="20"/>
          <w:highlight w:val="white"/>
          <w:lang w:val="en-US"/>
        </w:rPr>
      </w:pPr>
      <w:r w:rsidRPr="003F5529">
        <w:rPr>
          <w:rFonts w:eastAsia="Roboto" w:cstheme="minorHAnsi"/>
          <w:sz w:val="20"/>
          <w:szCs w:val="20"/>
          <w:highlight w:val="white"/>
          <w:lang w:val="en-US"/>
        </w:rPr>
        <w:t>ISSN 2314 – 3738</w:t>
      </w:r>
      <w:r w:rsidR="003451F6" w:rsidRPr="003F5529">
        <w:rPr>
          <w:rFonts w:eastAsia="Roboto" w:cstheme="minorHAnsi"/>
          <w:sz w:val="20"/>
          <w:szCs w:val="20"/>
          <w:highlight w:val="white"/>
          <w:lang w:val="en-US"/>
        </w:rPr>
        <w:t>.</w:t>
      </w:r>
    </w:p>
    <w:p w14:paraId="5FAEFE97" w14:textId="77777777" w:rsidR="00884E5D" w:rsidRPr="003F5529" w:rsidRDefault="00B24AF4" w:rsidP="00884E5D">
      <w:pPr>
        <w:spacing w:after="0" w:line="240" w:lineRule="auto"/>
        <w:ind w:hanging="2"/>
        <w:jc w:val="both"/>
        <w:rPr>
          <w:rFonts w:eastAsia="Roboto" w:cstheme="minorHAnsi"/>
          <w:sz w:val="20"/>
          <w:szCs w:val="20"/>
          <w:highlight w:val="white"/>
          <w:lang w:val="en-US"/>
        </w:rPr>
      </w:pPr>
      <w:hyperlink r:id="rId13">
        <w:r w:rsidR="00884E5D" w:rsidRPr="003F5529">
          <w:rPr>
            <w:rFonts w:eastAsia="Roboto" w:cstheme="minorHAnsi"/>
            <w:sz w:val="20"/>
            <w:szCs w:val="20"/>
            <w:highlight w:val="white"/>
            <w:lang w:val="en-US"/>
          </w:rPr>
          <w:t>http://revistas.unlp.edu.ar/CADM</w:t>
        </w:r>
      </w:hyperlink>
    </w:p>
    <w:p w14:paraId="5769C663" w14:textId="77777777" w:rsidR="00884E5D" w:rsidRPr="003F5529" w:rsidRDefault="00884E5D" w:rsidP="00884E5D">
      <w:pPr>
        <w:spacing w:after="0" w:line="240" w:lineRule="auto"/>
        <w:ind w:hanging="2"/>
        <w:jc w:val="both"/>
        <w:rPr>
          <w:rFonts w:eastAsia="Roboto" w:cstheme="minorHAnsi"/>
          <w:sz w:val="20"/>
          <w:szCs w:val="20"/>
          <w:highlight w:val="white"/>
          <w:lang w:val="en-US"/>
        </w:rPr>
      </w:pPr>
    </w:p>
    <w:p w14:paraId="1520FC9D" w14:textId="11B1CF73" w:rsidR="00AC74A6" w:rsidRPr="00AC74A6" w:rsidRDefault="00AC74A6" w:rsidP="00AC74A6">
      <w:pPr>
        <w:spacing w:after="0" w:line="240" w:lineRule="auto"/>
        <w:ind w:hanging="2"/>
        <w:jc w:val="both"/>
        <w:rPr>
          <w:rFonts w:eastAsia="Roboto" w:cstheme="minorHAnsi"/>
          <w:sz w:val="20"/>
          <w:szCs w:val="20"/>
          <w:highlight w:val="white"/>
        </w:rPr>
      </w:pPr>
      <w:r w:rsidRPr="00AC74A6">
        <w:rPr>
          <w:rFonts w:eastAsia="Roboto" w:cstheme="minorHAnsi"/>
          <w:sz w:val="20"/>
          <w:szCs w:val="20"/>
          <w:highlight w:val="white"/>
        </w:rPr>
        <w:t>Clasificación JEL.G23, G41, M31.</w:t>
      </w:r>
    </w:p>
    <w:p w14:paraId="2D87DC51" w14:textId="47E5F272" w:rsidR="00AC74A6" w:rsidRPr="00AC74A6" w:rsidRDefault="00AC74A6" w:rsidP="00AC74A6">
      <w:pPr>
        <w:spacing w:after="0" w:line="240" w:lineRule="auto"/>
        <w:ind w:hanging="2"/>
        <w:jc w:val="both"/>
        <w:rPr>
          <w:rFonts w:eastAsia="Roboto" w:cstheme="minorHAnsi"/>
          <w:sz w:val="20"/>
          <w:szCs w:val="20"/>
          <w:highlight w:val="white"/>
        </w:rPr>
      </w:pPr>
      <w:r w:rsidRPr="00AC74A6">
        <w:rPr>
          <w:rFonts w:eastAsia="Roboto" w:cstheme="minorHAnsi"/>
          <w:sz w:val="20"/>
          <w:szCs w:val="20"/>
          <w:highlight w:val="white"/>
        </w:rPr>
        <w:t>Fecha de Recibido: 4 de Junio de 2020</w:t>
      </w:r>
      <w:r w:rsidR="003451F6">
        <w:rPr>
          <w:rFonts w:eastAsia="Roboto" w:cstheme="minorHAnsi"/>
          <w:sz w:val="20"/>
          <w:szCs w:val="20"/>
          <w:highlight w:val="white"/>
        </w:rPr>
        <w:t>.</w:t>
      </w:r>
    </w:p>
    <w:p w14:paraId="501BDBA1" w14:textId="373894BA" w:rsidR="00AC74A6" w:rsidRPr="00AC74A6" w:rsidRDefault="00AC74A6" w:rsidP="00AC74A6">
      <w:pPr>
        <w:spacing w:after="0" w:line="240" w:lineRule="auto"/>
        <w:ind w:hanging="2"/>
        <w:jc w:val="both"/>
        <w:rPr>
          <w:rFonts w:eastAsia="Roboto" w:cstheme="minorHAnsi"/>
          <w:sz w:val="20"/>
          <w:szCs w:val="20"/>
          <w:highlight w:val="white"/>
        </w:rPr>
      </w:pPr>
      <w:r w:rsidRPr="00AC74A6">
        <w:rPr>
          <w:rFonts w:eastAsia="Roboto" w:cstheme="minorHAnsi"/>
          <w:sz w:val="20"/>
          <w:szCs w:val="20"/>
          <w:highlight w:val="white"/>
        </w:rPr>
        <w:t>Fecha de Aprobado: 6 de Agosto de 2020.</w:t>
      </w:r>
    </w:p>
    <w:p w14:paraId="5CAA93D9" w14:textId="77777777" w:rsidR="00AC74A6" w:rsidRPr="00AC74A6" w:rsidRDefault="00AC74A6" w:rsidP="0089552B">
      <w:pPr>
        <w:spacing w:after="0" w:line="240" w:lineRule="auto"/>
        <w:rPr>
          <w:b/>
          <w:sz w:val="20"/>
          <w:szCs w:val="20"/>
        </w:rPr>
      </w:pPr>
    </w:p>
    <w:p w14:paraId="16F6CCF1" w14:textId="77777777" w:rsidR="00AC74A6" w:rsidRPr="00AC74A6" w:rsidRDefault="00AC74A6" w:rsidP="0089552B">
      <w:pPr>
        <w:spacing w:after="0" w:line="240" w:lineRule="auto"/>
        <w:rPr>
          <w:b/>
          <w:sz w:val="20"/>
          <w:szCs w:val="20"/>
          <w:lang w:val="es-AR"/>
        </w:rPr>
      </w:pPr>
    </w:p>
    <w:p w14:paraId="19A6E7C5" w14:textId="2E010921" w:rsidR="002316EB" w:rsidRPr="003451F6" w:rsidRDefault="00FA373F" w:rsidP="0089552B">
      <w:pPr>
        <w:spacing w:after="0" w:line="240" w:lineRule="auto"/>
        <w:rPr>
          <w:b/>
          <w:iCs/>
          <w:sz w:val="20"/>
          <w:szCs w:val="20"/>
        </w:rPr>
      </w:pPr>
      <w:r w:rsidRPr="003451F6">
        <w:rPr>
          <w:b/>
          <w:iCs/>
          <w:sz w:val="20"/>
          <w:szCs w:val="20"/>
        </w:rPr>
        <w:t>Resumen</w:t>
      </w:r>
      <w:r w:rsidR="003451F6">
        <w:rPr>
          <w:b/>
          <w:iCs/>
          <w:sz w:val="20"/>
          <w:szCs w:val="20"/>
        </w:rPr>
        <w:t>.</w:t>
      </w:r>
    </w:p>
    <w:p w14:paraId="33162086" w14:textId="77777777" w:rsidR="002316EB" w:rsidRDefault="002316EB" w:rsidP="0089552B">
      <w:pPr>
        <w:spacing w:after="0" w:line="240" w:lineRule="auto"/>
        <w:rPr>
          <w:b/>
          <w:sz w:val="20"/>
          <w:szCs w:val="20"/>
        </w:rPr>
      </w:pPr>
    </w:p>
    <w:p w14:paraId="72EA71BE" w14:textId="77777777" w:rsidR="002316EB" w:rsidRDefault="00FA373F" w:rsidP="0089552B">
      <w:pPr>
        <w:spacing w:after="0" w:line="240" w:lineRule="auto"/>
        <w:jc w:val="both"/>
        <w:rPr>
          <w:sz w:val="20"/>
          <w:szCs w:val="20"/>
        </w:rPr>
      </w:pPr>
      <w:r>
        <w:rPr>
          <w:sz w:val="20"/>
          <w:szCs w:val="20"/>
        </w:rPr>
        <w:t xml:space="preserve">El principal objetivo de la investigación fue analizar la calidad del servicio de las cajas rurales de ahorro y crédito e investigar su influencia en la lealtad de los clientes en el sector </w:t>
      </w:r>
      <w:proofErr w:type="spellStart"/>
      <w:r>
        <w:rPr>
          <w:sz w:val="20"/>
          <w:szCs w:val="20"/>
        </w:rPr>
        <w:t>microfinanciero</w:t>
      </w:r>
      <w:proofErr w:type="spellEnd"/>
      <w:r>
        <w:rPr>
          <w:sz w:val="20"/>
          <w:szCs w:val="20"/>
        </w:rPr>
        <w:t xml:space="preserve"> peruano. Se utilizó la técnica de la encuesta donde se recopilaron datos de 385 clientes a través del cuestionario mediante el muestreo aleatorio simple. La metodología se realizó mediante Modelos de Ecuaciones Estructurales (SEM) y para evaluar el modelo teórico se optó por la técnica de análisis de Mínimos Cuadrados Parciales (PLS) mediante el software Smart PLS 3.3.2. El hallazgo reveló que las estimaciones obtenidas para el modelo tienen un impacto significativo en la lealtad de los clientes en las cajas rurales de ahorro y crédito, el coeficiente de determinación para la lealtad de los clientes fue r</w:t>
      </w:r>
      <w:r>
        <w:rPr>
          <w:sz w:val="20"/>
          <w:szCs w:val="20"/>
          <w:vertAlign w:val="superscript"/>
        </w:rPr>
        <w:t>2</w:t>
      </w:r>
      <w:r>
        <w:rPr>
          <w:sz w:val="20"/>
          <w:szCs w:val="20"/>
        </w:rPr>
        <w:t>=0,750 con un error cuadrático medio de aproximación (SRMR) de 0,063 que hace relevante el modelo confirmatorio. Además, los resultados de este estudio serán útiles para que los gerentes y los encargados de las cajas puedan mejorar sus políticas de calidad del servicio. Se recomienda extender este estudio en otros países en vías de desarrollo, ya que se contextualizó en la realidad del sistema financiero peruano.</w:t>
      </w:r>
    </w:p>
    <w:p w14:paraId="7CF23C5E" w14:textId="77777777" w:rsidR="0089552B" w:rsidRDefault="0089552B" w:rsidP="0089552B">
      <w:pPr>
        <w:spacing w:after="0" w:line="240" w:lineRule="auto"/>
        <w:rPr>
          <w:sz w:val="20"/>
          <w:szCs w:val="20"/>
        </w:rPr>
      </w:pPr>
    </w:p>
    <w:p w14:paraId="271A87A7" w14:textId="190E5EE7" w:rsidR="002316EB" w:rsidRDefault="00FA373F" w:rsidP="0089552B">
      <w:pPr>
        <w:spacing w:after="0" w:line="240" w:lineRule="auto"/>
        <w:rPr>
          <w:sz w:val="20"/>
          <w:szCs w:val="20"/>
        </w:rPr>
      </w:pPr>
      <w:r>
        <w:rPr>
          <w:sz w:val="20"/>
          <w:szCs w:val="20"/>
        </w:rPr>
        <w:t>Palabras clave</w:t>
      </w:r>
      <w:r w:rsidR="003451F6">
        <w:rPr>
          <w:sz w:val="20"/>
          <w:szCs w:val="20"/>
        </w:rPr>
        <w:t>.</w:t>
      </w:r>
      <w:r>
        <w:rPr>
          <w:sz w:val="20"/>
          <w:szCs w:val="20"/>
        </w:rPr>
        <w:t> </w:t>
      </w:r>
      <w:r w:rsidR="008A0B7A">
        <w:rPr>
          <w:sz w:val="20"/>
          <w:szCs w:val="20"/>
        </w:rPr>
        <w:t>M</w:t>
      </w:r>
      <w:r>
        <w:rPr>
          <w:sz w:val="20"/>
          <w:szCs w:val="20"/>
        </w:rPr>
        <w:t>icrofinanzas</w:t>
      </w:r>
      <w:r w:rsidR="008A0B7A">
        <w:rPr>
          <w:sz w:val="20"/>
          <w:szCs w:val="20"/>
        </w:rPr>
        <w:t>,</w:t>
      </w:r>
      <w:r>
        <w:rPr>
          <w:sz w:val="20"/>
          <w:szCs w:val="20"/>
        </w:rPr>
        <w:t xml:space="preserve"> Smart PLS</w:t>
      </w:r>
      <w:r w:rsidR="008A0B7A">
        <w:rPr>
          <w:sz w:val="20"/>
          <w:szCs w:val="20"/>
        </w:rPr>
        <w:t>,</w:t>
      </w:r>
      <w:r>
        <w:rPr>
          <w:sz w:val="20"/>
          <w:szCs w:val="20"/>
        </w:rPr>
        <w:t xml:space="preserve"> variable latente</w:t>
      </w:r>
      <w:r w:rsidR="0089552B">
        <w:rPr>
          <w:sz w:val="20"/>
          <w:szCs w:val="20"/>
        </w:rPr>
        <w:t>.</w:t>
      </w:r>
    </w:p>
    <w:p w14:paraId="3FD2CE6F" w14:textId="77777777" w:rsidR="002316EB" w:rsidRDefault="002316EB" w:rsidP="0089552B">
      <w:pPr>
        <w:spacing w:after="0" w:line="240" w:lineRule="auto"/>
        <w:rPr>
          <w:sz w:val="20"/>
          <w:szCs w:val="20"/>
        </w:rPr>
      </w:pPr>
    </w:p>
    <w:p w14:paraId="15465E14" w14:textId="77777777" w:rsidR="002316EB" w:rsidRDefault="002316EB" w:rsidP="0089552B">
      <w:pPr>
        <w:spacing w:after="0" w:line="240" w:lineRule="auto"/>
        <w:rPr>
          <w:sz w:val="20"/>
          <w:szCs w:val="20"/>
        </w:rPr>
      </w:pPr>
    </w:p>
    <w:p w14:paraId="4793F25E" w14:textId="78C7FAF2" w:rsidR="002316EB" w:rsidRPr="003451F6" w:rsidRDefault="00FA373F" w:rsidP="0089552B">
      <w:pPr>
        <w:spacing w:after="0" w:line="240" w:lineRule="auto"/>
        <w:rPr>
          <w:b/>
          <w:iCs/>
          <w:sz w:val="20"/>
          <w:szCs w:val="20"/>
          <w:lang w:val="en-US"/>
        </w:rPr>
      </w:pPr>
      <w:r w:rsidRPr="003451F6">
        <w:rPr>
          <w:b/>
          <w:iCs/>
          <w:sz w:val="20"/>
          <w:szCs w:val="20"/>
          <w:lang w:val="en-US"/>
        </w:rPr>
        <w:t>Abstract</w:t>
      </w:r>
      <w:r w:rsidR="003451F6">
        <w:rPr>
          <w:b/>
          <w:iCs/>
          <w:sz w:val="20"/>
          <w:szCs w:val="20"/>
          <w:lang w:val="en-US"/>
        </w:rPr>
        <w:t>.</w:t>
      </w:r>
    </w:p>
    <w:p w14:paraId="11C5D678" w14:textId="77777777" w:rsidR="002316EB" w:rsidRPr="00B8669F" w:rsidRDefault="002316EB" w:rsidP="0089552B">
      <w:pPr>
        <w:spacing w:after="0" w:line="240" w:lineRule="auto"/>
        <w:rPr>
          <w:b/>
          <w:sz w:val="20"/>
          <w:szCs w:val="20"/>
          <w:lang w:val="en-US"/>
        </w:rPr>
      </w:pPr>
    </w:p>
    <w:p w14:paraId="6DC176A8" w14:textId="77777777" w:rsidR="002316EB" w:rsidRPr="00B8669F" w:rsidRDefault="00FA373F" w:rsidP="00895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szCs w:val="20"/>
          <w:lang w:val="en-US"/>
        </w:rPr>
      </w:pPr>
      <w:r w:rsidRPr="00B8669F">
        <w:rPr>
          <w:sz w:val="20"/>
          <w:szCs w:val="20"/>
          <w:lang w:val="en-US"/>
        </w:rPr>
        <w:t xml:space="preserve">The main objective of the research was to </w:t>
      </w:r>
      <w:proofErr w:type="spellStart"/>
      <w:r w:rsidRPr="00B8669F">
        <w:rPr>
          <w:sz w:val="20"/>
          <w:szCs w:val="20"/>
          <w:lang w:val="en-US"/>
        </w:rPr>
        <w:t>analyse</w:t>
      </w:r>
      <w:proofErr w:type="spellEnd"/>
      <w:r w:rsidRPr="00B8669F">
        <w:rPr>
          <w:sz w:val="20"/>
          <w:szCs w:val="20"/>
          <w:lang w:val="en-US"/>
        </w:rPr>
        <w:t xml:space="preserve"> service quality and investigate its influence on customer loyalty in the Peruvian microfinance sector. The survey technique used involved collecting data from 385 clients through a questionnaire, using simple random sampling. The methodology was carried out using structural equation models (SEM) and the technique of partial least squares (PLS) analysis was chosen to evaluate the theoretical model using the Smart PLS 3.3.2 software. The finding revealed that the estimates obtained for the model significantly impact customer loyalty in rural savings and credit banks. The coefficient of determination for customer loyalty was r</w:t>
      </w:r>
      <w:r w:rsidRPr="00B8669F">
        <w:rPr>
          <w:sz w:val="20"/>
          <w:szCs w:val="20"/>
          <w:vertAlign w:val="superscript"/>
          <w:lang w:val="en-US"/>
        </w:rPr>
        <w:t>2</w:t>
      </w:r>
      <w:r w:rsidRPr="00B8669F">
        <w:rPr>
          <w:sz w:val="20"/>
          <w:szCs w:val="20"/>
          <w:lang w:val="en-US"/>
        </w:rPr>
        <w:t xml:space="preserve"> = 0.750 with a mean square error approximation (SRMR) of 0.063 that makes the confirmatory model relevant. In addition, the results of this study will be useful for bank managers and cashiers to improve their service quality policies. It is recommended to extend this study to other developing countries, since it was </w:t>
      </w:r>
      <w:proofErr w:type="spellStart"/>
      <w:r w:rsidRPr="00B8669F">
        <w:rPr>
          <w:sz w:val="20"/>
          <w:szCs w:val="20"/>
          <w:lang w:val="en-US"/>
        </w:rPr>
        <w:t>contextualised</w:t>
      </w:r>
      <w:proofErr w:type="spellEnd"/>
      <w:r w:rsidRPr="00B8669F">
        <w:rPr>
          <w:sz w:val="20"/>
          <w:szCs w:val="20"/>
          <w:lang w:val="en-US"/>
        </w:rPr>
        <w:t xml:space="preserve"> in the reality of the Peruvian financial system.</w:t>
      </w:r>
    </w:p>
    <w:p w14:paraId="31F20CA9" w14:textId="77777777" w:rsidR="002316EB" w:rsidRPr="00B8669F" w:rsidRDefault="002316EB" w:rsidP="00895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szCs w:val="20"/>
          <w:lang w:val="en-US"/>
        </w:rPr>
      </w:pPr>
    </w:p>
    <w:p w14:paraId="2DDC6C2A" w14:textId="0239BC80" w:rsidR="002316EB" w:rsidRPr="00B8669F" w:rsidRDefault="003451F6" w:rsidP="0089552B">
      <w:pPr>
        <w:spacing w:after="0" w:line="240" w:lineRule="auto"/>
        <w:rPr>
          <w:sz w:val="20"/>
          <w:szCs w:val="20"/>
          <w:lang w:val="en-US"/>
        </w:rPr>
      </w:pPr>
      <w:r>
        <w:rPr>
          <w:sz w:val="20"/>
          <w:szCs w:val="20"/>
          <w:lang w:val="en-US"/>
        </w:rPr>
        <w:t>Key words.</w:t>
      </w:r>
      <w:r w:rsidR="00FA373F" w:rsidRPr="00B8669F">
        <w:rPr>
          <w:sz w:val="20"/>
          <w:szCs w:val="20"/>
          <w:lang w:val="en-US"/>
        </w:rPr>
        <w:t xml:space="preserve"> </w:t>
      </w:r>
      <w:r w:rsidR="008A0B7A" w:rsidRPr="00B8669F">
        <w:rPr>
          <w:sz w:val="20"/>
          <w:szCs w:val="20"/>
          <w:lang w:val="en-US"/>
        </w:rPr>
        <w:t>M</w:t>
      </w:r>
      <w:r w:rsidR="00FA373F" w:rsidRPr="00B8669F">
        <w:rPr>
          <w:sz w:val="20"/>
          <w:szCs w:val="20"/>
          <w:lang w:val="en-US"/>
        </w:rPr>
        <w:t>icrofinance</w:t>
      </w:r>
      <w:r w:rsidR="008A0B7A">
        <w:rPr>
          <w:sz w:val="20"/>
          <w:szCs w:val="20"/>
          <w:lang w:val="en-US"/>
        </w:rPr>
        <w:t>,</w:t>
      </w:r>
      <w:r w:rsidR="0089552B">
        <w:rPr>
          <w:sz w:val="20"/>
          <w:szCs w:val="20"/>
          <w:lang w:val="en-US"/>
        </w:rPr>
        <w:t xml:space="preserve"> </w:t>
      </w:r>
      <w:r w:rsidR="0089552B" w:rsidRPr="00B8669F">
        <w:rPr>
          <w:sz w:val="20"/>
          <w:szCs w:val="20"/>
          <w:lang w:val="en-US"/>
        </w:rPr>
        <w:t>Smart PLS</w:t>
      </w:r>
      <w:r w:rsidR="008A0B7A">
        <w:rPr>
          <w:sz w:val="20"/>
          <w:szCs w:val="20"/>
          <w:lang w:val="en-US"/>
        </w:rPr>
        <w:t>,</w:t>
      </w:r>
      <w:r w:rsidR="00FA373F" w:rsidRPr="00B8669F">
        <w:rPr>
          <w:sz w:val="20"/>
          <w:szCs w:val="20"/>
          <w:lang w:val="en-US"/>
        </w:rPr>
        <w:t xml:space="preserve"> latent variable</w:t>
      </w:r>
      <w:r w:rsidR="0089552B">
        <w:rPr>
          <w:sz w:val="20"/>
          <w:szCs w:val="20"/>
          <w:lang w:val="en-US"/>
        </w:rPr>
        <w:t>.</w:t>
      </w:r>
      <w:r w:rsidR="00FA373F" w:rsidRPr="00B8669F">
        <w:rPr>
          <w:sz w:val="20"/>
          <w:szCs w:val="20"/>
          <w:lang w:val="en-US"/>
        </w:rPr>
        <w:t xml:space="preserve"> </w:t>
      </w:r>
    </w:p>
    <w:p w14:paraId="7C2E46A5" w14:textId="77777777" w:rsidR="002316EB" w:rsidRPr="00B8669F" w:rsidRDefault="002316EB" w:rsidP="0089552B">
      <w:pPr>
        <w:spacing w:after="0" w:line="240" w:lineRule="auto"/>
        <w:rPr>
          <w:b/>
          <w:sz w:val="20"/>
          <w:szCs w:val="20"/>
          <w:lang w:val="en-US"/>
        </w:rPr>
      </w:pPr>
    </w:p>
    <w:p w14:paraId="16591B69" w14:textId="77777777" w:rsidR="002316EB" w:rsidRPr="00B8669F" w:rsidRDefault="002316EB" w:rsidP="0089552B">
      <w:pPr>
        <w:spacing w:after="0" w:line="240" w:lineRule="auto"/>
        <w:rPr>
          <w:b/>
          <w:sz w:val="20"/>
          <w:szCs w:val="20"/>
          <w:lang w:val="en-US"/>
        </w:rPr>
      </w:pPr>
    </w:p>
    <w:p w14:paraId="6F7CB275" w14:textId="4F81BFD9" w:rsidR="002316EB" w:rsidRDefault="00FA373F" w:rsidP="0089552B">
      <w:pPr>
        <w:spacing w:after="0" w:line="240" w:lineRule="auto"/>
        <w:rPr>
          <w:b/>
          <w:sz w:val="20"/>
          <w:szCs w:val="20"/>
        </w:rPr>
      </w:pPr>
      <w:r>
        <w:rPr>
          <w:b/>
          <w:sz w:val="20"/>
          <w:szCs w:val="20"/>
        </w:rPr>
        <w:t>Introducción</w:t>
      </w:r>
      <w:r w:rsidR="003451F6">
        <w:rPr>
          <w:b/>
          <w:sz w:val="20"/>
          <w:szCs w:val="20"/>
        </w:rPr>
        <w:t>.</w:t>
      </w:r>
    </w:p>
    <w:p w14:paraId="1DD71842" w14:textId="77777777" w:rsidR="002316EB" w:rsidRDefault="002316EB" w:rsidP="0089552B">
      <w:pPr>
        <w:spacing w:after="0" w:line="240" w:lineRule="auto"/>
        <w:rPr>
          <w:b/>
          <w:sz w:val="20"/>
          <w:szCs w:val="20"/>
        </w:rPr>
      </w:pPr>
    </w:p>
    <w:p w14:paraId="5FCA693A" w14:textId="699DB57C" w:rsidR="002316EB" w:rsidRDefault="00FA373F" w:rsidP="0089552B">
      <w:pPr>
        <w:spacing w:after="0" w:line="240" w:lineRule="auto"/>
        <w:jc w:val="both"/>
        <w:rPr>
          <w:sz w:val="20"/>
          <w:szCs w:val="20"/>
        </w:rPr>
      </w:pPr>
      <w:r>
        <w:rPr>
          <w:sz w:val="20"/>
          <w:szCs w:val="20"/>
        </w:rPr>
        <w:t xml:space="preserve">Las cajas rurales de ahorro y crédito (CRAC) forman parte del sistema financiero peruano desde 1982 y son un soporte muy importante en el desarrollo económico y social del país; actualmente son siete cajas rurales: CRAC Raíz, Los andes, </w:t>
      </w:r>
      <w:proofErr w:type="spellStart"/>
      <w:r>
        <w:rPr>
          <w:sz w:val="20"/>
          <w:szCs w:val="20"/>
        </w:rPr>
        <w:t>Prymera</w:t>
      </w:r>
      <w:proofErr w:type="spellEnd"/>
      <w:r>
        <w:rPr>
          <w:sz w:val="20"/>
          <w:szCs w:val="20"/>
        </w:rPr>
        <w:t xml:space="preserve">, </w:t>
      </w:r>
      <w:proofErr w:type="spellStart"/>
      <w:r>
        <w:rPr>
          <w:sz w:val="20"/>
          <w:szCs w:val="20"/>
        </w:rPr>
        <w:t>Sipán</w:t>
      </w:r>
      <w:proofErr w:type="spellEnd"/>
      <w:r>
        <w:rPr>
          <w:sz w:val="20"/>
          <w:szCs w:val="20"/>
        </w:rPr>
        <w:t xml:space="preserve">, </w:t>
      </w:r>
      <w:proofErr w:type="spellStart"/>
      <w:r>
        <w:rPr>
          <w:sz w:val="20"/>
          <w:szCs w:val="20"/>
        </w:rPr>
        <w:t>Incasur</w:t>
      </w:r>
      <w:proofErr w:type="spellEnd"/>
      <w:r>
        <w:rPr>
          <w:sz w:val="20"/>
          <w:szCs w:val="20"/>
        </w:rPr>
        <w:t xml:space="preserve">, Del centro y CAT Perú. Además cuentan con agencias a nivel nacional, incluso son reguladas por la superintendencia de banca y seguro (SBS); poseen el 28,7% del mercado </w:t>
      </w:r>
      <w:proofErr w:type="spellStart"/>
      <w:r>
        <w:rPr>
          <w:sz w:val="20"/>
          <w:szCs w:val="20"/>
        </w:rPr>
        <w:t>microfinanciero</w:t>
      </w:r>
      <w:proofErr w:type="spellEnd"/>
      <w:r>
        <w:rPr>
          <w:sz w:val="20"/>
          <w:szCs w:val="20"/>
        </w:rPr>
        <w:t xml:space="preserve"> peruano (</w:t>
      </w:r>
      <w:proofErr w:type="spellStart"/>
      <w:r>
        <w:rPr>
          <w:sz w:val="20"/>
          <w:szCs w:val="20"/>
        </w:rPr>
        <w:t>Lahura</w:t>
      </w:r>
      <w:proofErr w:type="spellEnd"/>
      <w:r>
        <w:rPr>
          <w:sz w:val="20"/>
          <w:szCs w:val="20"/>
        </w:rPr>
        <w:t xml:space="preserve">, 2016). Así mismo, ofertan servicios financieros minorista para la población de las zonas rurales, principalmente de los sectores agricultura, ganadería y comercio. Existen instituciones similares, como las Cooperativas de Ahorro y Crédito en Ecuador que es una clara muestra de la necesidad de instituciones </w:t>
      </w:r>
      <w:proofErr w:type="spellStart"/>
      <w:r>
        <w:rPr>
          <w:sz w:val="20"/>
          <w:szCs w:val="20"/>
        </w:rPr>
        <w:t>microfinancieras</w:t>
      </w:r>
      <w:proofErr w:type="spellEnd"/>
      <w:r>
        <w:rPr>
          <w:sz w:val="20"/>
          <w:szCs w:val="20"/>
        </w:rPr>
        <w:t xml:space="preserve"> que promuevan la inclusión financiera (Salinas, 2011) y en España existen las cajas de ahorros y las cooperativas de crédito que son consideradas como banca social (Belmonte Ureña y Cortés García, 2010; Palomo Zurdo y </w:t>
      </w:r>
      <w:proofErr w:type="spellStart"/>
      <w:r>
        <w:rPr>
          <w:sz w:val="20"/>
          <w:szCs w:val="20"/>
        </w:rPr>
        <w:t>Sanchis</w:t>
      </w:r>
      <w:proofErr w:type="spellEnd"/>
      <w:r>
        <w:rPr>
          <w:sz w:val="20"/>
          <w:szCs w:val="20"/>
        </w:rPr>
        <w:t xml:space="preserve"> Palacio, 2010).</w:t>
      </w:r>
    </w:p>
    <w:p w14:paraId="624832E2" w14:textId="77777777" w:rsidR="0089552B" w:rsidRDefault="0089552B" w:rsidP="0089552B">
      <w:pPr>
        <w:spacing w:after="0" w:line="240" w:lineRule="auto"/>
        <w:jc w:val="both"/>
        <w:rPr>
          <w:sz w:val="20"/>
          <w:szCs w:val="20"/>
        </w:rPr>
      </w:pPr>
    </w:p>
    <w:p w14:paraId="7333BA52" w14:textId="06D4E3F8" w:rsidR="002316EB" w:rsidRDefault="00FA373F" w:rsidP="0089552B">
      <w:pPr>
        <w:spacing w:after="0" w:line="240" w:lineRule="auto"/>
        <w:ind w:firstLine="709"/>
        <w:jc w:val="both"/>
        <w:rPr>
          <w:sz w:val="20"/>
          <w:szCs w:val="20"/>
        </w:rPr>
      </w:pPr>
      <w:r>
        <w:rPr>
          <w:sz w:val="20"/>
          <w:szCs w:val="20"/>
        </w:rPr>
        <w:t xml:space="preserve">Los servicios en este grupo de instituciones financieras se están convirtiendo cada vez más en un factor competitivo y se consideran una herramienta indispensable para el flujo de ingresos del microempresario en zonas rurales (Mendiola et al., 2015). Se evidencian esfuerzos para mejorar la calidad de los servicios y satisfacer las necesidades de los clientes, pero la diversidad de estos últimos no hace la tarea fácil. </w:t>
      </w:r>
      <w:proofErr w:type="spellStart"/>
      <w:r>
        <w:rPr>
          <w:sz w:val="20"/>
          <w:szCs w:val="20"/>
        </w:rPr>
        <w:t>Giovana</w:t>
      </w:r>
      <w:proofErr w:type="spellEnd"/>
      <w:r>
        <w:rPr>
          <w:sz w:val="20"/>
          <w:szCs w:val="20"/>
        </w:rPr>
        <w:t xml:space="preserve"> Aguilar </w:t>
      </w:r>
      <w:proofErr w:type="spellStart"/>
      <w:r>
        <w:rPr>
          <w:sz w:val="20"/>
          <w:szCs w:val="20"/>
        </w:rPr>
        <w:t>Andía</w:t>
      </w:r>
      <w:proofErr w:type="spellEnd"/>
      <w:r>
        <w:rPr>
          <w:sz w:val="20"/>
          <w:szCs w:val="20"/>
        </w:rPr>
        <w:t xml:space="preserve"> (2016) y </w:t>
      </w:r>
      <w:proofErr w:type="spellStart"/>
      <w:r>
        <w:rPr>
          <w:sz w:val="20"/>
          <w:szCs w:val="20"/>
        </w:rPr>
        <w:t>Parasuraman</w:t>
      </w:r>
      <w:proofErr w:type="spellEnd"/>
      <w:r>
        <w:rPr>
          <w:sz w:val="20"/>
          <w:szCs w:val="20"/>
        </w:rPr>
        <w:t xml:space="preserve"> et al. (1988) proponen que los clientes determinan la calidad en función de las diferencias entre las expectativas del servicio esperado y de la percepción de lo que entrega el ofertante.</w:t>
      </w:r>
    </w:p>
    <w:p w14:paraId="303A48BB" w14:textId="77777777" w:rsidR="0089552B" w:rsidRDefault="0089552B" w:rsidP="0089552B">
      <w:pPr>
        <w:spacing w:after="0" w:line="240" w:lineRule="auto"/>
        <w:ind w:firstLine="709"/>
        <w:jc w:val="both"/>
        <w:rPr>
          <w:sz w:val="20"/>
          <w:szCs w:val="20"/>
        </w:rPr>
      </w:pPr>
    </w:p>
    <w:p w14:paraId="227FDD58" w14:textId="579652B6" w:rsidR="002316EB" w:rsidRDefault="00FA373F" w:rsidP="0089552B">
      <w:pPr>
        <w:shd w:val="clear" w:color="auto" w:fill="FFFFFF"/>
        <w:spacing w:after="0" w:line="240" w:lineRule="auto"/>
        <w:ind w:firstLine="709"/>
        <w:jc w:val="both"/>
        <w:rPr>
          <w:sz w:val="20"/>
          <w:szCs w:val="20"/>
        </w:rPr>
      </w:pPr>
      <w:r>
        <w:rPr>
          <w:sz w:val="20"/>
          <w:szCs w:val="20"/>
        </w:rPr>
        <w:t xml:space="preserve">La calidad del servicio es el resultado de la comparación que el consumidor hace entre sus expectativas y su percepción (Vargas y Aldana, 2014). Actualmente, para el sector financiero, la calidad del servicio juega un papel vital en la mejora de la satisfacción del cliente (Martín-Oliver et al., 2017), puesto que otorgar un servicio de calidad generaría un buen nivel de satisfacción y además una relación a largo plazo con el cliente (Moreno Lázaro, 2014).  </w:t>
      </w:r>
    </w:p>
    <w:p w14:paraId="278962C9" w14:textId="77777777" w:rsidR="0089552B" w:rsidRDefault="0089552B" w:rsidP="0089552B">
      <w:pPr>
        <w:shd w:val="clear" w:color="auto" w:fill="FFFFFF"/>
        <w:spacing w:after="0" w:line="240" w:lineRule="auto"/>
        <w:ind w:firstLine="709"/>
        <w:jc w:val="both"/>
        <w:rPr>
          <w:sz w:val="20"/>
          <w:szCs w:val="20"/>
        </w:rPr>
      </w:pPr>
    </w:p>
    <w:p w14:paraId="1E5B2EB2" w14:textId="5C9F726A" w:rsidR="002316EB" w:rsidRDefault="00FA373F" w:rsidP="0089552B">
      <w:pPr>
        <w:shd w:val="clear" w:color="auto" w:fill="FFFFFF"/>
        <w:spacing w:after="0" w:line="240" w:lineRule="auto"/>
        <w:ind w:firstLine="709"/>
        <w:jc w:val="both"/>
        <w:rPr>
          <w:sz w:val="20"/>
          <w:szCs w:val="20"/>
        </w:rPr>
      </w:pPr>
      <w:r>
        <w:rPr>
          <w:sz w:val="20"/>
          <w:szCs w:val="20"/>
        </w:rPr>
        <w:t xml:space="preserve">Las instituciones financieras con ventajas competitivas mantienen una fuerte relación con sus clientes y esto proporciona niveles favorables de lealtad por parte de estos últimos (Aguilar </w:t>
      </w:r>
      <w:proofErr w:type="spellStart"/>
      <w:r>
        <w:rPr>
          <w:sz w:val="20"/>
          <w:szCs w:val="20"/>
        </w:rPr>
        <w:t>Andía</w:t>
      </w:r>
      <w:proofErr w:type="spellEnd"/>
      <w:r>
        <w:rPr>
          <w:sz w:val="20"/>
          <w:szCs w:val="20"/>
        </w:rPr>
        <w:t>, 2016; Fuentes-Dávila, 2016). También los gerentes perciben que la calidad del servicio puede aumentar el rendimiento de una empresa (Gutiérrez Fernández et al., 2013). Además, la calidad del servicio y la satisfacción del cliente son términos intercambiables (González, 2015). Por otro lado, se ha demostrado que en el sector financiero existe una relación positiva de la calidad del servicio y la satisfacción de los clientes bancarios (Mariño-Mesías et al., 2015). Además, el rápido crecimiento de los servicios financieros ha proporcionado diferentes alternativas a los clientes (Cruz-</w:t>
      </w:r>
      <w:proofErr w:type="spellStart"/>
      <w:r>
        <w:rPr>
          <w:sz w:val="20"/>
          <w:szCs w:val="20"/>
        </w:rPr>
        <w:t>Ramirez</w:t>
      </w:r>
      <w:proofErr w:type="spellEnd"/>
      <w:r>
        <w:rPr>
          <w:sz w:val="20"/>
          <w:szCs w:val="20"/>
        </w:rPr>
        <w:t xml:space="preserve"> et al., 2013; Maguiña et al., 2021; León, 2018; </w:t>
      </w:r>
      <w:proofErr w:type="spellStart"/>
      <w:r>
        <w:rPr>
          <w:sz w:val="20"/>
          <w:szCs w:val="20"/>
        </w:rPr>
        <w:t>Zuñiga</w:t>
      </w:r>
      <w:proofErr w:type="spellEnd"/>
      <w:r>
        <w:rPr>
          <w:sz w:val="20"/>
          <w:szCs w:val="20"/>
        </w:rPr>
        <w:t xml:space="preserve">, 2019). Por lo tanto, la calidad del servicio juega un papel importante para mejorar las ganancias, la cuota de mercado, el desarrollo de una buena imagen y proporcionar una ventaja competitiva </w:t>
      </w:r>
      <w:r>
        <w:rPr>
          <w:sz w:val="20"/>
          <w:szCs w:val="20"/>
        </w:rPr>
        <w:lastRenderedPageBreak/>
        <w:t>(Rodríguez, 2014). Sin embargo, no existe un consenso respecto a la calidad de servicio y es muy compleja su medición en el sector financiero.</w:t>
      </w:r>
    </w:p>
    <w:p w14:paraId="6BF52B97" w14:textId="77777777" w:rsidR="0089552B" w:rsidRDefault="0089552B" w:rsidP="0089552B">
      <w:pPr>
        <w:shd w:val="clear" w:color="auto" w:fill="FFFFFF"/>
        <w:spacing w:after="0" w:line="240" w:lineRule="auto"/>
        <w:ind w:firstLine="709"/>
        <w:jc w:val="both"/>
        <w:rPr>
          <w:sz w:val="20"/>
          <w:szCs w:val="20"/>
        </w:rPr>
      </w:pPr>
    </w:p>
    <w:p w14:paraId="2B1B1F35" w14:textId="77777777" w:rsidR="002316EB" w:rsidRDefault="00FA373F" w:rsidP="0089552B">
      <w:pPr>
        <w:spacing w:after="0" w:line="240" w:lineRule="auto"/>
        <w:ind w:firstLine="709"/>
        <w:jc w:val="both"/>
        <w:rPr>
          <w:sz w:val="20"/>
          <w:szCs w:val="20"/>
        </w:rPr>
      </w:pPr>
      <w:r>
        <w:rPr>
          <w:sz w:val="20"/>
          <w:szCs w:val="20"/>
        </w:rPr>
        <w:t xml:space="preserve">Carmen </w:t>
      </w:r>
      <w:proofErr w:type="spellStart"/>
      <w:r>
        <w:rPr>
          <w:sz w:val="20"/>
          <w:szCs w:val="20"/>
        </w:rPr>
        <w:t>Suarina</w:t>
      </w:r>
      <w:proofErr w:type="spellEnd"/>
      <w:r>
        <w:rPr>
          <w:sz w:val="20"/>
          <w:szCs w:val="20"/>
        </w:rPr>
        <w:t xml:space="preserve"> Canals (2002), mediante un estudio basado en el modelo SERVQUAL, identifica cuatro factores o dimensiones de la calidad de servicio: un factor específico del servicio relacionado con casi todos los ítems evaluados; un factor de información, no contemplado en el cuestionario original y relacionado principalmente con los ítems que se refieren a la información financiera y fiscal, a la información sobre retenciones y penalizaciones y a la publicidad; un factor de trato con los trabajadores relacionado principalmente con la amabilidad, la confianza, el interés mostrado en solucionar imprevistos y el trato personal con el cliente y un factor tangible caracterizado principalmente por los ítems que están relacionados con la parte más externa del servicio, es decir, el aspecto de los trabajadores y el aspecto visual y atractivo de las oficinas. Por lo tanto, para el presente estudio se han utilizado cuatro variables latentes desarrolladas previamente por </w:t>
      </w:r>
      <w:proofErr w:type="spellStart"/>
      <w:r>
        <w:rPr>
          <w:sz w:val="20"/>
          <w:szCs w:val="20"/>
        </w:rPr>
        <w:t>Suarina</w:t>
      </w:r>
      <w:proofErr w:type="spellEnd"/>
      <w:r>
        <w:rPr>
          <w:sz w:val="20"/>
          <w:szCs w:val="20"/>
        </w:rPr>
        <w:t xml:space="preserve"> Canals y se ha realizado la demostración del impacto en la lealtad de los clientes de las cajas rurales de ahorro y crédito del Perú.</w:t>
      </w:r>
    </w:p>
    <w:p w14:paraId="4A89051A" w14:textId="77777777" w:rsidR="002316EB" w:rsidRDefault="002316EB" w:rsidP="0089552B">
      <w:pPr>
        <w:spacing w:after="0" w:line="240" w:lineRule="auto"/>
        <w:ind w:firstLine="709"/>
        <w:jc w:val="both"/>
        <w:rPr>
          <w:sz w:val="20"/>
          <w:szCs w:val="20"/>
        </w:rPr>
      </w:pPr>
    </w:p>
    <w:p w14:paraId="05958FEA" w14:textId="77777777" w:rsidR="002316EB" w:rsidRDefault="002316EB" w:rsidP="0089552B">
      <w:pPr>
        <w:spacing w:after="0" w:line="240" w:lineRule="auto"/>
        <w:rPr>
          <w:sz w:val="20"/>
          <w:szCs w:val="20"/>
        </w:rPr>
      </w:pPr>
    </w:p>
    <w:p w14:paraId="55BEB2D6" w14:textId="6DCE1CC9" w:rsidR="002316EB" w:rsidRDefault="00FA373F" w:rsidP="0089552B">
      <w:pPr>
        <w:spacing w:after="0" w:line="240" w:lineRule="auto"/>
        <w:jc w:val="both"/>
        <w:rPr>
          <w:b/>
          <w:iCs/>
          <w:sz w:val="20"/>
          <w:szCs w:val="20"/>
        </w:rPr>
      </w:pPr>
      <w:r w:rsidRPr="0089552B">
        <w:rPr>
          <w:b/>
          <w:iCs/>
          <w:sz w:val="20"/>
          <w:szCs w:val="20"/>
        </w:rPr>
        <w:t xml:space="preserve">Lealtad de los </w:t>
      </w:r>
      <w:r w:rsidR="0089552B" w:rsidRPr="0089552B">
        <w:rPr>
          <w:b/>
          <w:iCs/>
          <w:sz w:val="20"/>
          <w:szCs w:val="20"/>
        </w:rPr>
        <w:t>C</w:t>
      </w:r>
      <w:r w:rsidRPr="0089552B">
        <w:rPr>
          <w:b/>
          <w:iCs/>
          <w:sz w:val="20"/>
          <w:szCs w:val="20"/>
        </w:rPr>
        <w:t>lientes</w:t>
      </w:r>
      <w:r w:rsidR="003451F6">
        <w:rPr>
          <w:b/>
          <w:iCs/>
          <w:sz w:val="20"/>
          <w:szCs w:val="20"/>
        </w:rPr>
        <w:t>.</w:t>
      </w:r>
    </w:p>
    <w:p w14:paraId="3FA9BD40" w14:textId="77777777" w:rsidR="003451F6" w:rsidRPr="0089552B" w:rsidRDefault="003451F6" w:rsidP="0089552B">
      <w:pPr>
        <w:spacing w:after="0" w:line="240" w:lineRule="auto"/>
        <w:jc w:val="both"/>
        <w:rPr>
          <w:b/>
          <w:iCs/>
          <w:sz w:val="20"/>
          <w:szCs w:val="20"/>
        </w:rPr>
      </w:pPr>
    </w:p>
    <w:p w14:paraId="0FDFA9BD" w14:textId="3CEFEE01" w:rsidR="002316EB" w:rsidRDefault="00FA373F" w:rsidP="0089552B">
      <w:pPr>
        <w:spacing w:after="0" w:line="240" w:lineRule="auto"/>
        <w:jc w:val="both"/>
        <w:rPr>
          <w:sz w:val="20"/>
          <w:szCs w:val="20"/>
        </w:rPr>
      </w:pPr>
      <w:r>
        <w:rPr>
          <w:sz w:val="20"/>
          <w:szCs w:val="20"/>
        </w:rPr>
        <w:t>La calidad del servicio es una herramienta efectiva para mantener a los clientes leales a una organización, además, según María Virginia Baptista y María de Fátima León (2013), la lealtad es una actitud y un comportamiento específico. Asimismo, la lealtad del cliente ha sido un elemento importante para aumentar la rentabilidad de la empresa (</w:t>
      </w:r>
      <w:proofErr w:type="spellStart"/>
      <w:r>
        <w:rPr>
          <w:sz w:val="20"/>
          <w:szCs w:val="20"/>
        </w:rPr>
        <w:t>Gosso</w:t>
      </w:r>
      <w:proofErr w:type="spellEnd"/>
      <w:r>
        <w:rPr>
          <w:sz w:val="20"/>
          <w:szCs w:val="20"/>
        </w:rPr>
        <w:t>, 2010); también, la lealtad del cliente se ha definido como “un compromiso profundamente arraigado para volver a comprar o volver a patrocinar un producto preferido de manera consistente en las futuras influencias situacionales y los esfuerzos de marketing que podrían causar un cambio de comportamiento” (</w:t>
      </w:r>
      <w:proofErr w:type="spellStart"/>
      <w:r>
        <w:rPr>
          <w:sz w:val="20"/>
          <w:szCs w:val="20"/>
        </w:rPr>
        <w:t>Kotler</w:t>
      </w:r>
      <w:proofErr w:type="spellEnd"/>
      <w:r>
        <w:rPr>
          <w:sz w:val="20"/>
          <w:szCs w:val="20"/>
        </w:rPr>
        <w:t xml:space="preserve"> et al., 2017, p.113). </w:t>
      </w:r>
    </w:p>
    <w:p w14:paraId="70EAD03E" w14:textId="77777777" w:rsidR="0089552B" w:rsidRDefault="0089552B" w:rsidP="0089552B">
      <w:pPr>
        <w:spacing w:after="0" w:line="240" w:lineRule="auto"/>
        <w:jc w:val="both"/>
        <w:rPr>
          <w:sz w:val="20"/>
          <w:szCs w:val="20"/>
        </w:rPr>
      </w:pPr>
    </w:p>
    <w:p w14:paraId="127F8404" w14:textId="7B43CF69" w:rsidR="002316EB" w:rsidRDefault="00FA373F" w:rsidP="0089552B">
      <w:pPr>
        <w:spacing w:after="0" w:line="240" w:lineRule="auto"/>
        <w:ind w:firstLine="708"/>
        <w:jc w:val="both"/>
        <w:rPr>
          <w:sz w:val="20"/>
          <w:szCs w:val="20"/>
        </w:rPr>
      </w:pPr>
      <w:r>
        <w:rPr>
          <w:sz w:val="20"/>
          <w:szCs w:val="20"/>
        </w:rPr>
        <w:t xml:space="preserve">Sin importar el tipo de medición que se realice, se ha demostrado que la calidad se relaciona positivamente con lealtad de los clientes (Baptista y León, 2013). Por otro lado, la lealtad de comportamiento refleja la respuesta positiva del cliente para repetir la compra de un producto o servicio en particular (Cavazos, 2010; Romero y </w:t>
      </w:r>
      <w:proofErr w:type="spellStart"/>
      <w:r>
        <w:rPr>
          <w:sz w:val="20"/>
          <w:szCs w:val="20"/>
        </w:rPr>
        <w:t>Babativa</w:t>
      </w:r>
      <w:proofErr w:type="spellEnd"/>
      <w:r>
        <w:rPr>
          <w:sz w:val="20"/>
          <w:szCs w:val="20"/>
        </w:rPr>
        <w:t xml:space="preserve">, 2016), es decir, los clientes que son leales a una institución financiera gastan mucho más que otros clientes (Vargas y Aldana, 2014). Es por ello que varios estudios confirmaron que la lealtad en el sector bancario se ha atribuido en función a la calidad que percibe el cliente (Belmonte Ureña y Cortés García, 2010; León, 2018; </w:t>
      </w:r>
      <w:proofErr w:type="spellStart"/>
      <w:r>
        <w:rPr>
          <w:sz w:val="20"/>
          <w:szCs w:val="20"/>
        </w:rPr>
        <w:t>Suarina</w:t>
      </w:r>
      <w:proofErr w:type="spellEnd"/>
      <w:r>
        <w:rPr>
          <w:sz w:val="20"/>
          <w:szCs w:val="20"/>
        </w:rPr>
        <w:t>, 2002). Teniendo en cuenta estas contribuciones, para este estudio solo se consideran las cuatro dimensiones del modelo SERVQUAL (</w:t>
      </w:r>
      <w:proofErr w:type="spellStart"/>
      <w:r>
        <w:rPr>
          <w:sz w:val="20"/>
          <w:szCs w:val="20"/>
        </w:rPr>
        <w:t>Suarina</w:t>
      </w:r>
      <w:proofErr w:type="spellEnd"/>
      <w:r>
        <w:rPr>
          <w:sz w:val="20"/>
          <w:szCs w:val="20"/>
        </w:rPr>
        <w:t xml:space="preserve"> Canals, 2002) y se proponen las siguientes hipótesis:</w:t>
      </w:r>
    </w:p>
    <w:p w14:paraId="7378D6C4" w14:textId="77777777" w:rsidR="0089552B" w:rsidRDefault="0089552B" w:rsidP="0089552B">
      <w:pPr>
        <w:spacing w:after="0" w:line="240" w:lineRule="auto"/>
        <w:ind w:firstLine="708"/>
        <w:jc w:val="both"/>
        <w:rPr>
          <w:sz w:val="20"/>
          <w:szCs w:val="20"/>
        </w:rPr>
      </w:pPr>
    </w:p>
    <w:p w14:paraId="40F84473" w14:textId="22FE9F78" w:rsidR="002316EB" w:rsidRDefault="00F3074E" w:rsidP="0089552B">
      <w:pPr>
        <w:spacing w:after="0" w:line="240" w:lineRule="auto"/>
        <w:jc w:val="both"/>
        <w:rPr>
          <w:sz w:val="20"/>
          <w:szCs w:val="20"/>
        </w:rPr>
      </w:pPr>
      <w:r>
        <w:rPr>
          <w:sz w:val="20"/>
          <w:szCs w:val="20"/>
        </w:rPr>
        <w:t>H1.</w:t>
      </w:r>
      <w:r w:rsidR="00FA373F">
        <w:rPr>
          <w:sz w:val="20"/>
          <w:szCs w:val="20"/>
        </w:rPr>
        <w:t xml:space="preserve"> Los servicios financieros influyen significativamente en la lealtad de los clientes.</w:t>
      </w:r>
    </w:p>
    <w:p w14:paraId="0F66D60F" w14:textId="21C5F177" w:rsidR="002316EB" w:rsidRDefault="00F3074E" w:rsidP="0089552B">
      <w:pPr>
        <w:spacing w:after="0" w:line="240" w:lineRule="auto"/>
        <w:jc w:val="both"/>
        <w:rPr>
          <w:sz w:val="20"/>
          <w:szCs w:val="20"/>
        </w:rPr>
      </w:pPr>
      <w:r>
        <w:rPr>
          <w:sz w:val="20"/>
          <w:szCs w:val="20"/>
        </w:rPr>
        <w:t>H2.</w:t>
      </w:r>
      <w:r w:rsidR="00FA373F">
        <w:rPr>
          <w:sz w:val="20"/>
          <w:szCs w:val="20"/>
        </w:rPr>
        <w:t xml:space="preserve"> La información influye significativamente en la lealtad de los clientes.</w:t>
      </w:r>
    </w:p>
    <w:p w14:paraId="772EAE99" w14:textId="2AF696BD" w:rsidR="002316EB" w:rsidRDefault="00F3074E" w:rsidP="0089552B">
      <w:pPr>
        <w:spacing w:after="0" w:line="240" w:lineRule="auto"/>
        <w:jc w:val="both"/>
        <w:rPr>
          <w:sz w:val="20"/>
          <w:szCs w:val="20"/>
        </w:rPr>
      </w:pPr>
      <w:r>
        <w:rPr>
          <w:sz w:val="20"/>
          <w:szCs w:val="20"/>
        </w:rPr>
        <w:t>H3.</w:t>
      </w:r>
      <w:r w:rsidR="00FA373F">
        <w:rPr>
          <w:sz w:val="20"/>
          <w:szCs w:val="20"/>
        </w:rPr>
        <w:t xml:space="preserve"> El trato del trabajador influye significativamente en la lealtad de los clientes.</w:t>
      </w:r>
    </w:p>
    <w:p w14:paraId="54ED29C7" w14:textId="6F188296" w:rsidR="002316EB" w:rsidRDefault="00F3074E" w:rsidP="0089552B">
      <w:pPr>
        <w:spacing w:after="0" w:line="240" w:lineRule="auto"/>
        <w:jc w:val="both"/>
        <w:rPr>
          <w:sz w:val="20"/>
          <w:szCs w:val="20"/>
        </w:rPr>
      </w:pPr>
      <w:r>
        <w:rPr>
          <w:sz w:val="20"/>
          <w:szCs w:val="20"/>
        </w:rPr>
        <w:t>H4.</w:t>
      </w:r>
      <w:r w:rsidR="00FA373F">
        <w:rPr>
          <w:sz w:val="20"/>
          <w:szCs w:val="20"/>
        </w:rPr>
        <w:t xml:space="preserve"> La tangibilidad</w:t>
      </w:r>
      <w:r>
        <w:rPr>
          <w:sz w:val="20"/>
          <w:szCs w:val="20"/>
        </w:rPr>
        <w:t xml:space="preserve"> influye significativamente </w:t>
      </w:r>
      <w:r w:rsidR="00FA373F">
        <w:rPr>
          <w:sz w:val="20"/>
          <w:szCs w:val="20"/>
        </w:rPr>
        <w:t>en lealtad de los clientes.</w:t>
      </w:r>
    </w:p>
    <w:p w14:paraId="717E2E4A" w14:textId="77777777" w:rsidR="0089552B" w:rsidRDefault="0089552B" w:rsidP="0089552B">
      <w:pPr>
        <w:spacing w:after="0" w:line="240" w:lineRule="auto"/>
        <w:jc w:val="both"/>
        <w:rPr>
          <w:sz w:val="20"/>
          <w:szCs w:val="20"/>
        </w:rPr>
      </w:pPr>
    </w:p>
    <w:p w14:paraId="29689D6C" w14:textId="77777777" w:rsidR="002316EB" w:rsidRPr="00EB330C" w:rsidRDefault="00FA373F" w:rsidP="0089552B">
      <w:pPr>
        <w:spacing w:after="0" w:line="240" w:lineRule="auto"/>
        <w:jc w:val="both"/>
        <w:rPr>
          <w:sz w:val="20"/>
          <w:szCs w:val="20"/>
        </w:rPr>
      </w:pPr>
      <w:r w:rsidRPr="00EB330C">
        <w:rPr>
          <w:sz w:val="20"/>
          <w:szCs w:val="20"/>
        </w:rPr>
        <w:t>Con los fundamentos anteriormente descritos se propone el modelo teórico que se muestra en la Figura 1.</w:t>
      </w:r>
    </w:p>
    <w:p w14:paraId="2D6C01D1" w14:textId="7DD4257F" w:rsidR="002316EB" w:rsidRPr="00EB330C" w:rsidRDefault="002316EB" w:rsidP="0089552B">
      <w:pPr>
        <w:spacing w:after="0" w:line="240" w:lineRule="auto"/>
        <w:jc w:val="both"/>
        <w:rPr>
          <w:sz w:val="20"/>
          <w:szCs w:val="20"/>
        </w:rPr>
      </w:pPr>
    </w:p>
    <w:p w14:paraId="4EAF628F" w14:textId="77777777" w:rsidR="0089552B" w:rsidRPr="00EB330C" w:rsidRDefault="0089552B" w:rsidP="0089552B">
      <w:pPr>
        <w:spacing w:after="0" w:line="240" w:lineRule="auto"/>
        <w:jc w:val="both"/>
        <w:rPr>
          <w:sz w:val="20"/>
          <w:szCs w:val="20"/>
        </w:rPr>
      </w:pPr>
    </w:p>
    <w:p w14:paraId="238E70A4" w14:textId="77777777" w:rsidR="002316EB" w:rsidRPr="00EB330C" w:rsidRDefault="00FA373F" w:rsidP="0089552B">
      <w:pPr>
        <w:spacing w:after="0" w:line="240" w:lineRule="auto"/>
        <w:jc w:val="center"/>
        <w:rPr>
          <w:b/>
          <w:sz w:val="20"/>
          <w:szCs w:val="20"/>
        </w:rPr>
      </w:pPr>
      <w:r w:rsidRPr="00EB330C">
        <w:rPr>
          <w:b/>
          <w:sz w:val="20"/>
          <w:szCs w:val="20"/>
        </w:rPr>
        <w:t>Figura 1</w:t>
      </w:r>
    </w:p>
    <w:p w14:paraId="2A840285" w14:textId="77777777" w:rsidR="002316EB" w:rsidRPr="00EB330C" w:rsidRDefault="00FA373F" w:rsidP="0089552B">
      <w:pPr>
        <w:spacing w:after="0" w:line="240" w:lineRule="auto"/>
        <w:jc w:val="center"/>
        <w:rPr>
          <w:i/>
          <w:sz w:val="20"/>
          <w:szCs w:val="20"/>
        </w:rPr>
      </w:pPr>
      <w:r w:rsidRPr="00EB330C">
        <w:rPr>
          <w:i/>
          <w:sz w:val="20"/>
          <w:szCs w:val="20"/>
        </w:rPr>
        <w:t>Modelo teórico</w:t>
      </w:r>
    </w:p>
    <w:p w14:paraId="256171F9" w14:textId="77777777" w:rsidR="002316EB" w:rsidRPr="00EB330C" w:rsidRDefault="002316EB" w:rsidP="0089552B">
      <w:pPr>
        <w:spacing w:after="0" w:line="240" w:lineRule="auto"/>
        <w:rPr>
          <w:i/>
          <w:sz w:val="20"/>
          <w:szCs w:val="20"/>
        </w:rPr>
      </w:pPr>
    </w:p>
    <w:p w14:paraId="265E2624" w14:textId="65C69C93" w:rsidR="002316EB" w:rsidRPr="00EB330C" w:rsidRDefault="002316EB" w:rsidP="0089552B">
      <w:pPr>
        <w:widowControl w:val="0"/>
        <w:pBdr>
          <w:top w:val="nil"/>
          <w:left w:val="nil"/>
          <w:bottom w:val="nil"/>
          <w:right w:val="nil"/>
          <w:between w:val="nil"/>
        </w:pBdr>
        <w:spacing w:after="0" w:line="240" w:lineRule="auto"/>
        <w:rPr>
          <w:rFonts w:ascii="Arial" w:eastAsia="Arial" w:hAnsi="Arial" w:cs="Arial"/>
          <w:color w:val="595959"/>
          <w:sz w:val="20"/>
          <w:szCs w:val="20"/>
        </w:rPr>
      </w:pPr>
    </w:p>
    <w:p w14:paraId="04E9EDE7" w14:textId="0F718E25" w:rsidR="002316EB" w:rsidRPr="00EB330C" w:rsidRDefault="00EB330C" w:rsidP="0089552B">
      <w:pPr>
        <w:spacing w:after="0" w:line="240" w:lineRule="auto"/>
        <w:rPr>
          <w:i/>
          <w:sz w:val="20"/>
          <w:szCs w:val="20"/>
        </w:rPr>
      </w:pPr>
      <w:r w:rsidRPr="00EB330C">
        <w:rPr>
          <w:rFonts w:ascii="Arial" w:eastAsia="Arial" w:hAnsi="Arial" w:cs="Arial"/>
          <w:noProof/>
          <w:color w:val="595959"/>
          <w:sz w:val="20"/>
          <w:szCs w:val="20"/>
          <w:lang w:val="es-AR" w:eastAsia="es-AR"/>
        </w:rPr>
        <w:lastRenderedPageBreak/>
        <w:drawing>
          <wp:inline distT="0" distB="0" distL="0" distR="0" wp14:anchorId="1266D3A5" wp14:editId="0DD22F3F">
            <wp:extent cx="5612130" cy="4283710"/>
            <wp:effectExtent l="0" t="0" r="127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grayscl/>
                    </a:blip>
                    <a:srcRect/>
                    <a:stretch>
                      <a:fillRect/>
                    </a:stretch>
                  </pic:blipFill>
                  <pic:spPr>
                    <a:xfrm>
                      <a:off x="0" y="0"/>
                      <a:ext cx="5612130" cy="4283710"/>
                    </a:xfrm>
                    <a:prstGeom prst="rect">
                      <a:avLst/>
                    </a:prstGeom>
                    <a:ln/>
                  </pic:spPr>
                </pic:pic>
              </a:graphicData>
            </a:graphic>
          </wp:inline>
        </w:drawing>
      </w:r>
    </w:p>
    <w:p w14:paraId="1D585A96" w14:textId="77777777" w:rsidR="002316EB" w:rsidRPr="0089552B" w:rsidRDefault="00FA373F" w:rsidP="0089552B">
      <w:pPr>
        <w:spacing w:after="0" w:line="240" w:lineRule="auto"/>
        <w:jc w:val="center"/>
        <w:rPr>
          <w:sz w:val="16"/>
          <w:szCs w:val="16"/>
        </w:rPr>
      </w:pPr>
      <w:r w:rsidRPr="00EB330C">
        <w:rPr>
          <w:i/>
          <w:sz w:val="16"/>
          <w:szCs w:val="16"/>
        </w:rPr>
        <w:t>Nota</w:t>
      </w:r>
      <w:r w:rsidRPr="00EB330C">
        <w:rPr>
          <w:sz w:val="16"/>
          <w:szCs w:val="16"/>
        </w:rPr>
        <w:t>. Elaboración propia según Smart PLS</w:t>
      </w:r>
    </w:p>
    <w:p w14:paraId="6197F1A6" w14:textId="77777777" w:rsidR="002316EB" w:rsidRDefault="002316EB" w:rsidP="0089552B">
      <w:pPr>
        <w:spacing w:after="0" w:line="240" w:lineRule="auto"/>
        <w:rPr>
          <w:b/>
          <w:sz w:val="20"/>
          <w:szCs w:val="20"/>
        </w:rPr>
      </w:pPr>
    </w:p>
    <w:p w14:paraId="1D1E603F" w14:textId="77777777" w:rsidR="002316EB" w:rsidRDefault="002316EB" w:rsidP="0089552B">
      <w:pPr>
        <w:spacing w:after="0" w:line="240" w:lineRule="auto"/>
        <w:rPr>
          <w:b/>
          <w:sz w:val="20"/>
          <w:szCs w:val="20"/>
        </w:rPr>
      </w:pPr>
    </w:p>
    <w:p w14:paraId="536B303E" w14:textId="00803F58" w:rsidR="00EB330C" w:rsidRPr="003160B9" w:rsidRDefault="00EB330C" w:rsidP="003160B9">
      <w:pPr>
        <w:spacing w:after="0" w:line="240" w:lineRule="auto"/>
        <w:jc w:val="both"/>
        <w:rPr>
          <w:sz w:val="20"/>
          <w:szCs w:val="20"/>
        </w:rPr>
      </w:pPr>
      <w:r w:rsidRPr="003160B9">
        <w:rPr>
          <w:sz w:val="20"/>
          <w:szCs w:val="20"/>
        </w:rPr>
        <w:t>Descripción Figura 1. Modelo teórico.</w:t>
      </w:r>
    </w:p>
    <w:p w14:paraId="530AC71E" w14:textId="77777777" w:rsidR="00EB330C" w:rsidRPr="003160B9" w:rsidRDefault="00EB330C" w:rsidP="003160B9">
      <w:pPr>
        <w:spacing w:after="0" w:line="240" w:lineRule="auto"/>
        <w:jc w:val="both"/>
        <w:rPr>
          <w:sz w:val="20"/>
          <w:szCs w:val="20"/>
        </w:rPr>
      </w:pPr>
    </w:p>
    <w:p w14:paraId="3803DF72" w14:textId="615AF78F" w:rsidR="003160B9" w:rsidRPr="003160B9" w:rsidRDefault="00EB330C" w:rsidP="003160B9">
      <w:pPr>
        <w:spacing w:after="0" w:line="240" w:lineRule="auto"/>
        <w:jc w:val="both"/>
        <w:rPr>
          <w:sz w:val="20"/>
          <w:szCs w:val="20"/>
        </w:rPr>
      </w:pPr>
      <w:r w:rsidRPr="003160B9">
        <w:rPr>
          <w:sz w:val="20"/>
          <w:szCs w:val="20"/>
        </w:rPr>
        <w:t xml:space="preserve">Descripción. </w:t>
      </w:r>
      <w:r w:rsidR="003160B9" w:rsidRPr="003160B9">
        <w:rPr>
          <w:sz w:val="20"/>
          <w:szCs w:val="20"/>
        </w:rPr>
        <w:t>A través de figuras geométricas se quiere evidenciar que los servicios financieros, la Información, el trato del trabajador y la Tangibilidad influyen significativamente en la lealtad de los clientes. Elaboración propia según Smart PLS. Fin de descripción Figura 1. Vuelva al texto.</w:t>
      </w:r>
    </w:p>
    <w:p w14:paraId="5226A8BE" w14:textId="77777777" w:rsidR="00EB330C" w:rsidRDefault="00EB330C" w:rsidP="0089552B">
      <w:pPr>
        <w:spacing w:after="0" w:line="240" w:lineRule="auto"/>
        <w:rPr>
          <w:b/>
          <w:sz w:val="20"/>
          <w:szCs w:val="20"/>
        </w:rPr>
      </w:pPr>
    </w:p>
    <w:p w14:paraId="315F1CCA" w14:textId="17333160" w:rsidR="002316EB" w:rsidRDefault="00FA373F" w:rsidP="0089552B">
      <w:pPr>
        <w:spacing w:after="0" w:line="240" w:lineRule="auto"/>
        <w:rPr>
          <w:b/>
          <w:sz w:val="20"/>
          <w:szCs w:val="20"/>
        </w:rPr>
      </w:pPr>
      <w:r>
        <w:rPr>
          <w:b/>
          <w:sz w:val="20"/>
          <w:szCs w:val="20"/>
        </w:rPr>
        <w:t>Metodología</w:t>
      </w:r>
      <w:r w:rsidR="003451F6">
        <w:rPr>
          <w:b/>
          <w:sz w:val="20"/>
          <w:szCs w:val="20"/>
        </w:rPr>
        <w:t>.</w:t>
      </w:r>
    </w:p>
    <w:p w14:paraId="28E04B4C" w14:textId="77777777" w:rsidR="002316EB" w:rsidRDefault="002316EB" w:rsidP="0089552B">
      <w:pPr>
        <w:spacing w:after="0" w:line="240" w:lineRule="auto"/>
        <w:rPr>
          <w:b/>
          <w:sz w:val="20"/>
          <w:szCs w:val="20"/>
        </w:rPr>
      </w:pPr>
    </w:p>
    <w:p w14:paraId="3FB57B40" w14:textId="215668EF" w:rsidR="002316EB" w:rsidRPr="000E0C8F" w:rsidRDefault="003451F6" w:rsidP="0089552B">
      <w:pPr>
        <w:spacing w:after="0" w:line="240" w:lineRule="auto"/>
        <w:jc w:val="both"/>
        <w:rPr>
          <w:b/>
          <w:sz w:val="20"/>
          <w:szCs w:val="20"/>
        </w:rPr>
      </w:pPr>
      <w:r w:rsidRPr="000E0C8F">
        <w:rPr>
          <w:b/>
          <w:sz w:val="20"/>
          <w:szCs w:val="20"/>
        </w:rPr>
        <w:t>La Muestra.</w:t>
      </w:r>
    </w:p>
    <w:p w14:paraId="1A14EFD5" w14:textId="77777777" w:rsidR="0089552B" w:rsidRDefault="0089552B" w:rsidP="0089552B">
      <w:pPr>
        <w:spacing w:after="0" w:line="240" w:lineRule="auto"/>
        <w:jc w:val="both"/>
        <w:rPr>
          <w:b/>
          <w:i/>
          <w:sz w:val="20"/>
          <w:szCs w:val="20"/>
        </w:rPr>
      </w:pPr>
    </w:p>
    <w:p w14:paraId="30461B85" w14:textId="77777777" w:rsidR="002316EB" w:rsidRDefault="00FA373F" w:rsidP="0089552B">
      <w:pPr>
        <w:widowControl w:val="0"/>
        <w:pBdr>
          <w:top w:val="nil"/>
          <w:left w:val="nil"/>
          <w:bottom w:val="nil"/>
          <w:right w:val="nil"/>
          <w:between w:val="nil"/>
        </w:pBdr>
        <w:spacing w:after="0" w:line="240" w:lineRule="auto"/>
        <w:jc w:val="both"/>
        <w:rPr>
          <w:color w:val="000000"/>
          <w:sz w:val="20"/>
          <w:szCs w:val="20"/>
        </w:rPr>
      </w:pPr>
      <w:r>
        <w:rPr>
          <w:color w:val="000000"/>
          <w:sz w:val="20"/>
          <w:szCs w:val="20"/>
        </w:rPr>
        <w:t>El tipo de investigación es explicativa de enfoque cuantitativo, con diseño transversal (Hernández-</w:t>
      </w:r>
      <w:proofErr w:type="spellStart"/>
      <w:r>
        <w:rPr>
          <w:color w:val="000000"/>
          <w:sz w:val="20"/>
          <w:szCs w:val="20"/>
        </w:rPr>
        <w:t>Sampieri</w:t>
      </w:r>
      <w:proofErr w:type="spellEnd"/>
      <w:r>
        <w:rPr>
          <w:color w:val="000000"/>
          <w:sz w:val="20"/>
          <w:szCs w:val="20"/>
        </w:rPr>
        <w:t xml:space="preserve"> y Mendoza, 2018). Se utilizaron dos cuestionarios, uno comprendía cuatro constructos, con 14 ítems que fueron adaptados previamente por </w:t>
      </w:r>
      <w:proofErr w:type="spellStart"/>
      <w:r>
        <w:rPr>
          <w:color w:val="000000"/>
          <w:sz w:val="20"/>
          <w:szCs w:val="20"/>
        </w:rPr>
        <w:t>Suarina</w:t>
      </w:r>
      <w:proofErr w:type="spellEnd"/>
      <w:r>
        <w:rPr>
          <w:color w:val="000000"/>
          <w:sz w:val="20"/>
          <w:szCs w:val="20"/>
        </w:rPr>
        <w:t xml:space="preserve"> Canals (2002), seguidos por la lealtad de los clientes con tres ítems propuestos con anterioridad por </w:t>
      </w:r>
      <w:proofErr w:type="spellStart"/>
      <w:r>
        <w:rPr>
          <w:color w:val="000000"/>
          <w:sz w:val="20"/>
          <w:szCs w:val="20"/>
        </w:rPr>
        <w:t>Rahi</w:t>
      </w:r>
      <w:proofErr w:type="spellEnd"/>
      <w:r>
        <w:rPr>
          <w:color w:val="000000"/>
          <w:sz w:val="20"/>
          <w:szCs w:val="20"/>
        </w:rPr>
        <w:t xml:space="preserve"> et al. (2017). El otro estaba compuesto por los datos demográficos de los clientes de las </w:t>
      </w:r>
      <w:proofErr w:type="spellStart"/>
      <w:r>
        <w:rPr>
          <w:color w:val="000000"/>
          <w:sz w:val="20"/>
          <w:szCs w:val="20"/>
        </w:rPr>
        <w:t>CRAC´s</w:t>
      </w:r>
      <w:proofErr w:type="spellEnd"/>
      <w:r>
        <w:rPr>
          <w:color w:val="000000"/>
          <w:sz w:val="20"/>
          <w:szCs w:val="20"/>
        </w:rPr>
        <w:t xml:space="preserve"> como edad, sexo y nivel de educación. Para la recolección de datos se obtuvo el permiso de los gerentes de cada agencia y se realizó mediante el muestreo aleatorio simple. Tanto es así que los encuestadores visitaron todas las agencias de las cajas rurales y solicitaron a los clientes que llenaran el cuestionario; es así como resultó un tamaño de muestra de 385 clientes.</w:t>
      </w:r>
    </w:p>
    <w:p w14:paraId="0C9A8BEB" w14:textId="77777777" w:rsidR="002316EB" w:rsidRDefault="002316EB" w:rsidP="0089552B">
      <w:pPr>
        <w:widowControl w:val="0"/>
        <w:pBdr>
          <w:top w:val="nil"/>
          <w:left w:val="nil"/>
          <w:bottom w:val="nil"/>
          <w:right w:val="nil"/>
          <w:between w:val="nil"/>
        </w:pBdr>
        <w:spacing w:after="0" w:line="240" w:lineRule="auto"/>
        <w:jc w:val="both"/>
        <w:rPr>
          <w:color w:val="595959"/>
          <w:sz w:val="20"/>
          <w:szCs w:val="20"/>
        </w:rPr>
      </w:pPr>
    </w:p>
    <w:p w14:paraId="1FF67E9B" w14:textId="77777777" w:rsidR="002316EB" w:rsidRDefault="002316EB" w:rsidP="0089552B">
      <w:pPr>
        <w:widowControl w:val="0"/>
        <w:pBdr>
          <w:top w:val="nil"/>
          <w:left w:val="nil"/>
          <w:bottom w:val="nil"/>
          <w:right w:val="nil"/>
          <w:between w:val="nil"/>
        </w:pBdr>
        <w:spacing w:after="0" w:line="240" w:lineRule="auto"/>
        <w:jc w:val="both"/>
        <w:rPr>
          <w:color w:val="595959"/>
          <w:sz w:val="20"/>
          <w:szCs w:val="20"/>
        </w:rPr>
      </w:pPr>
    </w:p>
    <w:p w14:paraId="4E63B7AE" w14:textId="0B044A0E" w:rsidR="002316EB" w:rsidRPr="000E0C8F" w:rsidRDefault="00FA373F" w:rsidP="0089552B">
      <w:pPr>
        <w:spacing w:after="0" w:line="240" w:lineRule="auto"/>
        <w:jc w:val="both"/>
        <w:rPr>
          <w:b/>
          <w:sz w:val="20"/>
          <w:szCs w:val="20"/>
        </w:rPr>
      </w:pPr>
      <w:r w:rsidRPr="000E0C8F">
        <w:rPr>
          <w:b/>
          <w:sz w:val="20"/>
          <w:szCs w:val="20"/>
        </w:rPr>
        <w:t>Las Variables</w:t>
      </w:r>
      <w:r w:rsidR="003451F6" w:rsidRPr="000E0C8F">
        <w:rPr>
          <w:b/>
          <w:sz w:val="20"/>
          <w:szCs w:val="20"/>
        </w:rPr>
        <w:t>.</w:t>
      </w:r>
    </w:p>
    <w:p w14:paraId="59C80F95" w14:textId="77777777" w:rsidR="0089552B" w:rsidRPr="00426643" w:rsidRDefault="0089552B" w:rsidP="0089552B">
      <w:pPr>
        <w:spacing w:after="0" w:line="240" w:lineRule="auto"/>
        <w:jc w:val="both"/>
        <w:rPr>
          <w:sz w:val="20"/>
          <w:szCs w:val="20"/>
        </w:rPr>
      </w:pPr>
    </w:p>
    <w:p w14:paraId="628A70F7" w14:textId="5B8A66B1" w:rsidR="002316EB" w:rsidRDefault="00FA373F" w:rsidP="0089552B">
      <w:pPr>
        <w:widowControl w:val="0"/>
        <w:pBdr>
          <w:top w:val="nil"/>
          <w:left w:val="nil"/>
          <w:bottom w:val="nil"/>
          <w:right w:val="nil"/>
          <w:between w:val="nil"/>
        </w:pBdr>
        <w:spacing w:after="0" w:line="240" w:lineRule="auto"/>
        <w:jc w:val="both"/>
        <w:rPr>
          <w:color w:val="000000"/>
          <w:sz w:val="20"/>
          <w:szCs w:val="20"/>
        </w:rPr>
      </w:pPr>
      <w:r>
        <w:rPr>
          <w:color w:val="000000"/>
          <w:sz w:val="20"/>
          <w:szCs w:val="20"/>
        </w:rPr>
        <w:lastRenderedPageBreak/>
        <w:t xml:space="preserve">En el presente estudio, se utilizaron para medir la calidad de servicio cuatro constructos, con 14 ítems que fueron adaptados previamente por </w:t>
      </w:r>
      <w:proofErr w:type="spellStart"/>
      <w:r>
        <w:rPr>
          <w:color w:val="000000"/>
          <w:sz w:val="20"/>
          <w:szCs w:val="20"/>
        </w:rPr>
        <w:t>Suarina</w:t>
      </w:r>
      <w:proofErr w:type="spellEnd"/>
      <w:r>
        <w:rPr>
          <w:color w:val="000000"/>
          <w:sz w:val="20"/>
          <w:szCs w:val="20"/>
        </w:rPr>
        <w:t xml:space="preserve"> Canals (2002), y para medir la lealtad de los clientes, tres ítems propuestos con anterioridad por </w:t>
      </w:r>
      <w:proofErr w:type="spellStart"/>
      <w:r>
        <w:rPr>
          <w:color w:val="000000"/>
          <w:sz w:val="20"/>
          <w:szCs w:val="20"/>
        </w:rPr>
        <w:t>Rahi</w:t>
      </w:r>
      <w:proofErr w:type="spellEnd"/>
      <w:r>
        <w:rPr>
          <w:color w:val="000000"/>
          <w:sz w:val="20"/>
          <w:szCs w:val="20"/>
        </w:rPr>
        <w:t xml:space="preserve"> et al. (2017), tal como se observa en la tabla 1. Además, cada ítem se midió en la escala de Likert de siete puntos, que varía de 1 (totalmente en desacuerdo) a 7 (totalmente de acuerdo). </w:t>
      </w:r>
    </w:p>
    <w:p w14:paraId="741C9D00" w14:textId="6B0AB246" w:rsidR="002316EB" w:rsidRDefault="002316EB" w:rsidP="0089552B">
      <w:pPr>
        <w:widowControl w:val="0"/>
        <w:pBdr>
          <w:top w:val="nil"/>
          <w:left w:val="nil"/>
          <w:bottom w:val="nil"/>
          <w:right w:val="nil"/>
          <w:between w:val="nil"/>
        </w:pBdr>
        <w:spacing w:after="0" w:line="240" w:lineRule="auto"/>
        <w:jc w:val="both"/>
        <w:rPr>
          <w:color w:val="000000"/>
          <w:sz w:val="20"/>
          <w:szCs w:val="20"/>
        </w:rPr>
      </w:pPr>
    </w:p>
    <w:p w14:paraId="6736011F" w14:textId="77777777" w:rsidR="000E0C8F" w:rsidRDefault="000E0C8F" w:rsidP="000E0C8F">
      <w:pPr>
        <w:spacing w:after="0" w:line="240" w:lineRule="auto"/>
        <w:jc w:val="center"/>
        <w:rPr>
          <w:b/>
          <w:sz w:val="20"/>
          <w:szCs w:val="20"/>
        </w:rPr>
      </w:pPr>
      <w:r>
        <w:rPr>
          <w:b/>
          <w:sz w:val="20"/>
          <w:szCs w:val="20"/>
        </w:rPr>
        <w:t>Tabla 1</w:t>
      </w:r>
    </w:p>
    <w:p w14:paraId="1DD5F282" w14:textId="77777777" w:rsidR="000E0C8F" w:rsidRDefault="000E0C8F" w:rsidP="000E0C8F">
      <w:pPr>
        <w:spacing w:after="0" w:line="240" w:lineRule="auto"/>
        <w:jc w:val="center"/>
        <w:rPr>
          <w:i/>
          <w:sz w:val="20"/>
          <w:szCs w:val="20"/>
        </w:rPr>
      </w:pPr>
      <w:r>
        <w:rPr>
          <w:i/>
          <w:sz w:val="20"/>
          <w:szCs w:val="20"/>
        </w:rPr>
        <w:t>Variables e ítems del modelo</w:t>
      </w:r>
    </w:p>
    <w:p w14:paraId="33C51C73" w14:textId="77777777" w:rsidR="000E0C8F" w:rsidRDefault="000E0C8F" w:rsidP="000E0C8F">
      <w:pPr>
        <w:spacing w:after="0" w:line="240" w:lineRule="auto"/>
        <w:jc w:val="center"/>
        <w:rPr>
          <w:sz w:val="20"/>
          <w:szCs w:val="20"/>
        </w:rPr>
      </w:pPr>
    </w:p>
    <w:p w14:paraId="2BE13C99" w14:textId="77777777" w:rsidR="000E0C8F" w:rsidRDefault="000E0C8F" w:rsidP="000E0C8F">
      <w:pPr>
        <w:spacing w:after="0" w:line="240" w:lineRule="auto"/>
        <w:rPr>
          <w:sz w:val="20"/>
          <w:szCs w:val="20"/>
        </w:rPr>
      </w:pPr>
      <w:r>
        <w:rPr>
          <w:noProof/>
          <w:lang w:val="es-AR" w:eastAsia="es-AR"/>
        </w:rPr>
        <w:drawing>
          <wp:inline distT="0" distB="0" distL="0" distR="0" wp14:anchorId="4D17F61A" wp14:editId="2B4914F8">
            <wp:extent cx="5612130" cy="2820670"/>
            <wp:effectExtent l="0" t="0" r="1270" b="0"/>
            <wp:docPr id="4" name="Imagen 3" descr="Tabla&#10;&#10;Descripción generada automáticamente">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2C0A3EE6-AE06-1C42-A540-B5F7BFBB50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Tabla&#10;&#10;Descripción generada automáticamente">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2C0A3EE6-AE06-1C42-A540-B5F7BFBB5079}"/>
                        </a:ext>
                      </a:extLst>
                    </pic:cNvPr>
                    <pic:cNvPicPr>
                      <a:picLocks noChangeAspect="1"/>
                    </pic:cNvPicPr>
                  </pic:nvPicPr>
                  <pic:blipFill>
                    <a:blip r:embed="rId15"/>
                    <a:stretch>
                      <a:fillRect/>
                    </a:stretch>
                  </pic:blipFill>
                  <pic:spPr>
                    <a:xfrm>
                      <a:off x="0" y="0"/>
                      <a:ext cx="5612130" cy="2820670"/>
                    </a:xfrm>
                    <a:prstGeom prst="rect">
                      <a:avLst/>
                    </a:prstGeom>
                  </pic:spPr>
                </pic:pic>
              </a:graphicData>
            </a:graphic>
          </wp:inline>
        </w:drawing>
      </w:r>
    </w:p>
    <w:p w14:paraId="7ADE84BB" w14:textId="77777777" w:rsidR="000E0C8F" w:rsidRPr="0089552B" w:rsidRDefault="000E0C8F" w:rsidP="000E0C8F">
      <w:pPr>
        <w:spacing w:after="0" w:line="240" w:lineRule="auto"/>
        <w:jc w:val="center"/>
        <w:rPr>
          <w:sz w:val="16"/>
          <w:szCs w:val="16"/>
        </w:rPr>
      </w:pPr>
      <w:r>
        <w:rPr>
          <w:sz w:val="20"/>
          <w:szCs w:val="20"/>
        </w:rPr>
        <w:t xml:space="preserve"> </w:t>
      </w:r>
      <w:r w:rsidRPr="0089552B">
        <w:rPr>
          <w:i/>
          <w:sz w:val="16"/>
          <w:szCs w:val="16"/>
        </w:rPr>
        <w:t>Nota.</w:t>
      </w:r>
      <w:r w:rsidRPr="0089552B">
        <w:rPr>
          <w:sz w:val="16"/>
          <w:szCs w:val="16"/>
        </w:rPr>
        <w:t xml:space="preserve"> Elaboración propia según Smart PLS</w:t>
      </w:r>
    </w:p>
    <w:p w14:paraId="45970141" w14:textId="77777777" w:rsidR="000E0C8F" w:rsidRDefault="000E0C8F" w:rsidP="000E0C8F">
      <w:pPr>
        <w:spacing w:after="0" w:line="240" w:lineRule="auto"/>
        <w:rPr>
          <w:sz w:val="20"/>
          <w:szCs w:val="20"/>
        </w:rPr>
      </w:pPr>
    </w:p>
    <w:p w14:paraId="7302F486" w14:textId="77777777" w:rsidR="000E0C8F" w:rsidRDefault="000E0C8F" w:rsidP="00384CE8">
      <w:pPr>
        <w:spacing w:after="0" w:line="240" w:lineRule="auto"/>
        <w:jc w:val="both"/>
        <w:rPr>
          <w:b/>
          <w:sz w:val="20"/>
          <w:szCs w:val="20"/>
        </w:rPr>
      </w:pPr>
    </w:p>
    <w:p w14:paraId="7E841E23" w14:textId="2F26B7AB" w:rsidR="00893663" w:rsidRPr="003F5529" w:rsidRDefault="00384CE8" w:rsidP="00384CE8">
      <w:pPr>
        <w:spacing w:after="0" w:line="240" w:lineRule="auto"/>
        <w:jc w:val="both"/>
        <w:rPr>
          <w:sz w:val="20"/>
          <w:szCs w:val="20"/>
        </w:rPr>
      </w:pPr>
      <w:r w:rsidRPr="003F5529">
        <w:rPr>
          <w:sz w:val="20"/>
          <w:szCs w:val="20"/>
        </w:rPr>
        <w:t>Descripción Tabla 1.</w:t>
      </w:r>
      <w:r w:rsidR="00893663" w:rsidRPr="003F5529">
        <w:rPr>
          <w:sz w:val="20"/>
          <w:szCs w:val="20"/>
        </w:rPr>
        <w:t xml:space="preserve">  </w:t>
      </w:r>
      <w:r w:rsidR="00CF2298" w:rsidRPr="003F5529">
        <w:rPr>
          <w:sz w:val="20"/>
          <w:szCs w:val="20"/>
        </w:rPr>
        <w:t>Variables e Ítem del modelo.</w:t>
      </w:r>
    </w:p>
    <w:p w14:paraId="4F1E7002" w14:textId="77777777" w:rsidR="00CF2298" w:rsidRDefault="00CF2298" w:rsidP="00384CE8">
      <w:pPr>
        <w:spacing w:after="0" w:line="240" w:lineRule="auto"/>
        <w:jc w:val="both"/>
        <w:rPr>
          <w:sz w:val="20"/>
          <w:szCs w:val="20"/>
        </w:rPr>
      </w:pPr>
    </w:p>
    <w:p w14:paraId="4FB281E5" w14:textId="2D8521B2" w:rsidR="00384CE8" w:rsidRDefault="00384CE8" w:rsidP="00384CE8">
      <w:pPr>
        <w:spacing w:after="0" w:line="240" w:lineRule="auto"/>
        <w:jc w:val="both"/>
        <w:rPr>
          <w:sz w:val="20"/>
          <w:szCs w:val="20"/>
        </w:rPr>
      </w:pPr>
      <w:r>
        <w:rPr>
          <w:sz w:val="20"/>
          <w:szCs w:val="20"/>
        </w:rPr>
        <w:t>Descripción. M</w:t>
      </w:r>
      <w:r w:rsidRPr="005A747C">
        <w:rPr>
          <w:sz w:val="20"/>
          <w:szCs w:val="20"/>
        </w:rPr>
        <w:t xml:space="preserve">ediante una </w:t>
      </w:r>
      <w:r>
        <w:rPr>
          <w:sz w:val="20"/>
          <w:szCs w:val="20"/>
        </w:rPr>
        <w:t xml:space="preserve">tabla se relacionan los Constructos y los ítems que los componen. </w:t>
      </w:r>
    </w:p>
    <w:p w14:paraId="07BBD9C3" w14:textId="77777777" w:rsidR="003F5529" w:rsidRDefault="003F5529" w:rsidP="00384CE8">
      <w:pPr>
        <w:spacing w:after="0" w:line="240" w:lineRule="auto"/>
        <w:jc w:val="both"/>
        <w:rPr>
          <w:sz w:val="20"/>
          <w:szCs w:val="20"/>
        </w:rPr>
      </w:pPr>
    </w:p>
    <w:p w14:paraId="1A0A8925" w14:textId="77777777" w:rsidR="00384CE8" w:rsidRDefault="00384CE8" w:rsidP="00384CE8">
      <w:pPr>
        <w:spacing w:after="0" w:line="240" w:lineRule="auto"/>
        <w:jc w:val="both"/>
        <w:rPr>
          <w:sz w:val="20"/>
          <w:szCs w:val="20"/>
        </w:rPr>
      </w:pPr>
      <w:r>
        <w:rPr>
          <w:sz w:val="20"/>
          <w:szCs w:val="20"/>
        </w:rPr>
        <w:t xml:space="preserve">El Constructo Servicio Financiero incluye: </w:t>
      </w:r>
    </w:p>
    <w:p w14:paraId="199F7B51" w14:textId="55C57915" w:rsidR="00384CE8" w:rsidRDefault="00384CE8" w:rsidP="00384CE8">
      <w:pPr>
        <w:spacing w:after="0" w:line="240" w:lineRule="auto"/>
        <w:jc w:val="both"/>
        <w:rPr>
          <w:sz w:val="20"/>
          <w:szCs w:val="20"/>
        </w:rPr>
      </w:pPr>
      <w:r>
        <w:rPr>
          <w:sz w:val="20"/>
          <w:szCs w:val="20"/>
        </w:rPr>
        <w:t xml:space="preserve">Serv 1. </w:t>
      </w:r>
      <w:r w:rsidRPr="00384CE8">
        <w:rPr>
          <w:sz w:val="20"/>
          <w:szCs w:val="20"/>
        </w:rPr>
        <w:t>Incorpora mejoras tecnológicas</w:t>
      </w:r>
      <w:r>
        <w:rPr>
          <w:sz w:val="20"/>
          <w:szCs w:val="20"/>
        </w:rPr>
        <w:t>.</w:t>
      </w:r>
    </w:p>
    <w:p w14:paraId="0F1A534D" w14:textId="13C2F43F" w:rsidR="00384CE8" w:rsidRDefault="00384CE8" w:rsidP="00384CE8">
      <w:pPr>
        <w:spacing w:after="0" w:line="240" w:lineRule="auto"/>
        <w:jc w:val="both"/>
        <w:rPr>
          <w:sz w:val="20"/>
          <w:szCs w:val="20"/>
        </w:rPr>
      </w:pPr>
      <w:r>
        <w:rPr>
          <w:sz w:val="20"/>
          <w:szCs w:val="20"/>
        </w:rPr>
        <w:t xml:space="preserve">Serv 2. </w:t>
      </w:r>
      <w:r w:rsidRPr="00384CE8">
        <w:rPr>
          <w:sz w:val="20"/>
          <w:szCs w:val="20"/>
        </w:rPr>
        <w:t>Envío de estados de cuenta puntualmente</w:t>
      </w:r>
      <w:r>
        <w:rPr>
          <w:sz w:val="20"/>
          <w:szCs w:val="20"/>
        </w:rPr>
        <w:t>.</w:t>
      </w:r>
    </w:p>
    <w:p w14:paraId="0E49B8D1" w14:textId="3920D1A8" w:rsidR="00384CE8" w:rsidRDefault="00384CE8" w:rsidP="00384CE8">
      <w:pPr>
        <w:spacing w:after="0" w:line="240" w:lineRule="auto"/>
        <w:jc w:val="both"/>
        <w:rPr>
          <w:sz w:val="20"/>
          <w:szCs w:val="20"/>
        </w:rPr>
      </w:pPr>
      <w:r>
        <w:rPr>
          <w:sz w:val="20"/>
          <w:szCs w:val="20"/>
        </w:rPr>
        <w:t xml:space="preserve">Serv 3. </w:t>
      </w:r>
      <w:r w:rsidRPr="00384CE8">
        <w:rPr>
          <w:sz w:val="20"/>
          <w:szCs w:val="20"/>
        </w:rPr>
        <w:t>Cumplimiento de los términos pactados</w:t>
      </w:r>
      <w:r>
        <w:rPr>
          <w:sz w:val="20"/>
          <w:szCs w:val="20"/>
        </w:rPr>
        <w:t>.</w:t>
      </w:r>
    </w:p>
    <w:p w14:paraId="21D52A60" w14:textId="3B17D96C" w:rsidR="00384CE8" w:rsidRDefault="00384CE8" w:rsidP="00384CE8">
      <w:pPr>
        <w:spacing w:after="0" w:line="240" w:lineRule="auto"/>
        <w:jc w:val="both"/>
        <w:rPr>
          <w:sz w:val="20"/>
          <w:szCs w:val="20"/>
        </w:rPr>
      </w:pPr>
      <w:r>
        <w:rPr>
          <w:sz w:val="20"/>
          <w:szCs w:val="20"/>
        </w:rPr>
        <w:t xml:space="preserve">Serv 4. </w:t>
      </w:r>
      <w:r w:rsidRPr="00384CE8">
        <w:rPr>
          <w:sz w:val="20"/>
          <w:szCs w:val="20"/>
        </w:rPr>
        <w:t>Conocimientos para responder preguntas</w:t>
      </w:r>
      <w:r>
        <w:rPr>
          <w:sz w:val="20"/>
          <w:szCs w:val="20"/>
        </w:rPr>
        <w:t>.</w:t>
      </w:r>
    </w:p>
    <w:p w14:paraId="25BBD9B1" w14:textId="3304AF4A" w:rsidR="00384CE8" w:rsidRDefault="00384CE8" w:rsidP="00384CE8">
      <w:pPr>
        <w:spacing w:after="0" w:line="240" w:lineRule="auto"/>
        <w:jc w:val="both"/>
        <w:rPr>
          <w:sz w:val="20"/>
          <w:szCs w:val="20"/>
        </w:rPr>
      </w:pPr>
      <w:r>
        <w:rPr>
          <w:sz w:val="20"/>
          <w:szCs w:val="20"/>
        </w:rPr>
        <w:t xml:space="preserve">Serv 5. </w:t>
      </w:r>
      <w:r w:rsidRPr="00384CE8">
        <w:rPr>
          <w:sz w:val="20"/>
          <w:szCs w:val="20"/>
        </w:rPr>
        <w:t>No cometen errores</w:t>
      </w:r>
      <w:r>
        <w:rPr>
          <w:sz w:val="20"/>
          <w:szCs w:val="20"/>
        </w:rPr>
        <w:t>.</w:t>
      </w:r>
    </w:p>
    <w:p w14:paraId="46C2E0C7" w14:textId="77777777" w:rsidR="00384CE8" w:rsidRDefault="00384CE8" w:rsidP="00384CE8">
      <w:pPr>
        <w:spacing w:after="0" w:line="240" w:lineRule="auto"/>
        <w:jc w:val="both"/>
        <w:rPr>
          <w:sz w:val="20"/>
          <w:szCs w:val="20"/>
        </w:rPr>
      </w:pPr>
    </w:p>
    <w:p w14:paraId="1CFCD157" w14:textId="2F582E75" w:rsidR="00384CE8" w:rsidRDefault="00384CE8" w:rsidP="00384CE8">
      <w:pPr>
        <w:spacing w:after="0" w:line="240" w:lineRule="auto"/>
        <w:jc w:val="both"/>
        <w:rPr>
          <w:sz w:val="20"/>
          <w:szCs w:val="20"/>
        </w:rPr>
      </w:pPr>
      <w:r>
        <w:rPr>
          <w:sz w:val="20"/>
          <w:szCs w:val="20"/>
        </w:rPr>
        <w:t xml:space="preserve">El Constructo información incluye: </w:t>
      </w:r>
    </w:p>
    <w:p w14:paraId="29F7A690" w14:textId="2C6AFE32" w:rsidR="00384CE8" w:rsidRDefault="00384CE8" w:rsidP="00384CE8">
      <w:pPr>
        <w:spacing w:after="0" w:line="240" w:lineRule="auto"/>
        <w:jc w:val="both"/>
        <w:rPr>
          <w:sz w:val="20"/>
          <w:szCs w:val="20"/>
        </w:rPr>
      </w:pPr>
      <w:r>
        <w:rPr>
          <w:sz w:val="20"/>
          <w:szCs w:val="20"/>
        </w:rPr>
        <w:t xml:space="preserve">Inf 1. </w:t>
      </w:r>
      <w:r w:rsidRPr="00384CE8">
        <w:rPr>
          <w:sz w:val="20"/>
          <w:szCs w:val="20"/>
        </w:rPr>
        <w:t>Información de penalizaciones y retenciones</w:t>
      </w:r>
      <w:r w:rsidR="00893663">
        <w:rPr>
          <w:sz w:val="20"/>
          <w:szCs w:val="20"/>
        </w:rPr>
        <w:t>.</w:t>
      </w:r>
    </w:p>
    <w:p w14:paraId="1CBD9F62" w14:textId="7FB3B671" w:rsidR="00384CE8" w:rsidRDefault="00384CE8" w:rsidP="00384CE8">
      <w:pPr>
        <w:spacing w:after="0" w:line="240" w:lineRule="auto"/>
        <w:jc w:val="both"/>
        <w:rPr>
          <w:sz w:val="20"/>
          <w:szCs w:val="20"/>
        </w:rPr>
      </w:pPr>
      <w:r>
        <w:rPr>
          <w:sz w:val="20"/>
          <w:szCs w:val="20"/>
        </w:rPr>
        <w:t xml:space="preserve">Inf 2. </w:t>
      </w:r>
      <w:r w:rsidRPr="00384CE8">
        <w:rPr>
          <w:sz w:val="20"/>
          <w:szCs w:val="20"/>
        </w:rPr>
        <w:t>Información financiera y fiscal</w:t>
      </w:r>
      <w:r w:rsidR="00893663">
        <w:rPr>
          <w:sz w:val="20"/>
          <w:szCs w:val="20"/>
        </w:rPr>
        <w:t>.</w:t>
      </w:r>
    </w:p>
    <w:p w14:paraId="31982781" w14:textId="624B5975" w:rsidR="00384CE8" w:rsidRDefault="00384CE8" w:rsidP="00384CE8">
      <w:pPr>
        <w:spacing w:after="0" w:line="240" w:lineRule="auto"/>
        <w:jc w:val="both"/>
        <w:rPr>
          <w:sz w:val="20"/>
          <w:szCs w:val="20"/>
        </w:rPr>
      </w:pPr>
      <w:r>
        <w:rPr>
          <w:sz w:val="20"/>
          <w:szCs w:val="20"/>
        </w:rPr>
        <w:t xml:space="preserve">Inf 3. </w:t>
      </w:r>
      <w:r w:rsidRPr="00384CE8">
        <w:rPr>
          <w:sz w:val="20"/>
          <w:szCs w:val="20"/>
        </w:rPr>
        <w:t>Publicidad adecuada a la realidad</w:t>
      </w:r>
      <w:r w:rsidR="00893663">
        <w:rPr>
          <w:sz w:val="20"/>
          <w:szCs w:val="20"/>
        </w:rPr>
        <w:t>.</w:t>
      </w:r>
    </w:p>
    <w:p w14:paraId="1193678C" w14:textId="77777777" w:rsidR="00384CE8" w:rsidRDefault="00384CE8" w:rsidP="00384CE8">
      <w:pPr>
        <w:spacing w:after="0" w:line="240" w:lineRule="auto"/>
        <w:jc w:val="both"/>
        <w:rPr>
          <w:sz w:val="20"/>
          <w:szCs w:val="20"/>
        </w:rPr>
      </w:pPr>
    </w:p>
    <w:p w14:paraId="79C22C11" w14:textId="600429BC" w:rsidR="00384CE8" w:rsidRDefault="00384CE8" w:rsidP="00384CE8">
      <w:pPr>
        <w:spacing w:after="0" w:line="240" w:lineRule="auto"/>
        <w:jc w:val="both"/>
        <w:rPr>
          <w:sz w:val="20"/>
          <w:szCs w:val="20"/>
        </w:rPr>
      </w:pPr>
      <w:r>
        <w:rPr>
          <w:sz w:val="20"/>
          <w:szCs w:val="20"/>
        </w:rPr>
        <w:t xml:space="preserve">El Constructo Trato de los Trabajadores incluye: </w:t>
      </w:r>
    </w:p>
    <w:p w14:paraId="2921920C" w14:textId="59BDD2C3" w:rsidR="00384CE8" w:rsidRDefault="00384CE8" w:rsidP="00384CE8">
      <w:pPr>
        <w:spacing w:after="0" w:line="240" w:lineRule="auto"/>
        <w:jc w:val="both"/>
        <w:rPr>
          <w:sz w:val="20"/>
          <w:szCs w:val="20"/>
        </w:rPr>
      </w:pPr>
      <w:r>
        <w:rPr>
          <w:sz w:val="20"/>
          <w:szCs w:val="20"/>
        </w:rPr>
        <w:t xml:space="preserve">Trat 1. </w:t>
      </w:r>
      <w:r w:rsidRPr="00384CE8">
        <w:rPr>
          <w:sz w:val="20"/>
          <w:szCs w:val="20"/>
        </w:rPr>
        <w:t>Interés a encontrar soluciones a imprevistos</w:t>
      </w:r>
      <w:r w:rsidR="00893663">
        <w:rPr>
          <w:sz w:val="20"/>
          <w:szCs w:val="20"/>
        </w:rPr>
        <w:t>.</w:t>
      </w:r>
    </w:p>
    <w:p w14:paraId="77CDBBB5" w14:textId="227E1379" w:rsidR="00384CE8" w:rsidRDefault="00384CE8" w:rsidP="00384CE8">
      <w:pPr>
        <w:spacing w:after="0" w:line="240" w:lineRule="auto"/>
        <w:jc w:val="both"/>
        <w:rPr>
          <w:sz w:val="20"/>
          <w:szCs w:val="20"/>
        </w:rPr>
      </w:pPr>
      <w:r>
        <w:rPr>
          <w:sz w:val="20"/>
          <w:szCs w:val="20"/>
        </w:rPr>
        <w:t xml:space="preserve">Trat 2. </w:t>
      </w:r>
      <w:r w:rsidRPr="00384CE8">
        <w:rPr>
          <w:sz w:val="20"/>
          <w:szCs w:val="20"/>
        </w:rPr>
        <w:t>Trabajadores inspiran confianza</w:t>
      </w:r>
      <w:r w:rsidR="00893663">
        <w:rPr>
          <w:sz w:val="20"/>
          <w:szCs w:val="20"/>
        </w:rPr>
        <w:t>.</w:t>
      </w:r>
    </w:p>
    <w:p w14:paraId="19B299EF" w14:textId="7C213F15" w:rsidR="00384CE8" w:rsidRDefault="00384CE8" w:rsidP="00384CE8">
      <w:pPr>
        <w:spacing w:after="0" w:line="240" w:lineRule="auto"/>
        <w:jc w:val="both"/>
        <w:rPr>
          <w:sz w:val="20"/>
          <w:szCs w:val="20"/>
        </w:rPr>
      </w:pPr>
      <w:r>
        <w:rPr>
          <w:sz w:val="20"/>
          <w:szCs w:val="20"/>
        </w:rPr>
        <w:t xml:space="preserve">Trat 3. </w:t>
      </w:r>
      <w:r w:rsidRPr="00384CE8">
        <w:rPr>
          <w:sz w:val="20"/>
          <w:szCs w:val="20"/>
        </w:rPr>
        <w:t>Trabajadores amables</w:t>
      </w:r>
      <w:r w:rsidR="00893663">
        <w:rPr>
          <w:sz w:val="20"/>
          <w:szCs w:val="20"/>
        </w:rPr>
        <w:t>.</w:t>
      </w:r>
    </w:p>
    <w:p w14:paraId="16494A9B" w14:textId="676A829A" w:rsidR="00384CE8" w:rsidRDefault="00384CE8" w:rsidP="00384CE8">
      <w:pPr>
        <w:spacing w:after="0" w:line="240" w:lineRule="auto"/>
        <w:jc w:val="both"/>
        <w:rPr>
          <w:sz w:val="20"/>
          <w:szCs w:val="20"/>
        </w:rPr>
      </w:pPr>
      <w:r>
        <w:rPr>
          <w:sz w:val="20"/>
          <w:szCs w:val="20"/>
        </w:rPr>
        <w:t xml:space="preserve">Trat 4. </w:t>
      </w:r>
      <w:r w:rsidRPr="00384CE8">
        <w:rPr>
          <w:sz w:val="20"/>
          <w:szCs w:val="20"/>
        </w:rPr>
        <w:t>Trabajadores se dirigen por su nombre</w:t>
      </w:r>
      <w:r w:rsidR="00893663">
        <w:rPr>
          <w:sz w:val="20"/>
          <w:szCs w:val="20"/>
        </w:rPr>
        <w:t>.</w:t>
      </w:r>
    </w:p>
    <w:p w14:paraId="07D1CA44" w14:textId="77777777" w:rsidR="00384CE8" w:rsidRDefault="00384CE8" w:rsidP="00384CE8">
      <w:pPr>
        <w:spacing w:after="0" w:line="240" w:lineRule="auto"/>
        <w:jc w:val="both"/>
        <w:rPr>
          <w:sz w:val="20"/>
          <w:szCs w:val="20"/>
        </w:rPr>
      </w:pPr>
    </w:p>
    <w:p w14:paraId="0886448D" w14:textId="5F5667F9" w:rsidR="00893663" w:rsidRDefault="00893663" w:rsidP="00893663">
      <w:pPr>
        <w:spacing w:after="0" w:line="240" w:lineRule="auto"/>
        <w:jc w:val="both"/>
        <w:rPr>
          <w:sz w:val="20"/>
          <w:szCs w:val="20"/>
        </w:rPr>
      </w:pPr>
      <w:r>
        <w:rPr>
          <w:sz w:val="20"/>
          <w:szCs w:val="20"/>
        </w:rPr>
        <w:t xml:space="preserve">El Constructo Tangibilidad incluye: </w:t>
      </w:r>
    </w:p>
    <w:p w14:paraId="22008D32" w14:textId="73A70487" w:rsidR="00893663" w:rsidRDefault="00893663" w:rsidP="00893663">
      <w:pPr>
        <w:spacing w:after="0" w:line="240" w:lineRule="auto"/>
        <w:jc w:val="both"/>
        <w:rPr>
          <w:sz w:val="20"/>
          <w:szCs w:val="20"/>
        </w:rPr>
      </w:pPr>
      <w:r>
        <w:rPr>
          <w:sz w:val="20"/>
          <w:szCs w:val="20"/>
        </w:rPr>
        <w:lastRenderedPageBreak/>
        <w:t xml:space="preserve">Tan 1. </w:t>
      </w:r>
      <w:r w:rsidRPr="00893663">
        <w:rPr>
          <w:sz w:val="20"/>
          <w:szCs w:val="20"/>
        </w:rPr>
        <w:t>Oficinas visualmente atractivas</w:t>
      </w:r>
      <w:r>
        <w:rPr>
          <w:sz w:val="20"/>
          <w:szCs w:val="20"/>
        </w:rPr>
        <w:t>.</w:t>
      </w:r>
    </w:p>
    <w:p w14:paraId="0A3584F1" w14:textId="510544D1" w:rsidR="00893663" w:rsidRDefault="00893663" w:rsidP="00893663">
      <w:pPr>
        <w:spacing w:after="0" w:line="240" w:lineRule="auto"/>
        <w:jc w:val="both"/>
        <w:rPr>
          <w:sz w:val="20"/>
          <w:szCs w:val="20"/>
        </w:rPr>
      </w:pPr>
      <w:r>
        <w:rPr>
          <w:sz w:val="20"/>
          <w:szCs w:val="20"/>
        </w:rPr>
        <w:t xml:space="preserve">Tan 2. </w:t>
      </w:r>
      <w:r w:rsidRPr="00893663">
        <w:rPr>
          <w:sz w:val="20"/>
          <w:szCs w:val="20"/>
        </w:rPr>
        <w:t>Aspecto pulcro de los trabajadores</w:t>
      </w:r>
      <w:r>
        <w:rPr>
          <w:sz w:val="20"/>
          <w:szCs w:val="20"/>
        </w:rPr>
        <w:t>.</w:t>
      </w:r>
    </w:p>
    <w:p w14:paraId="1FA68248" w14:textId="77777777" w:rsidR="00893663" w:rsidRDefault="00893663" w:rsidP="00384CE8">
      <w:pPr>
        <w:spacing w:after="0" w:line="240" w:lineRule="auto"/>
        <w:jc w:val="both"/>
        <w:rPr>
          <w:sz w:val="20"/>
          <w:szCs w:val="20"/>
        </w:rPr>
      </w:pPr>
    </w:p>
    <w:p w14:paraId="08133E07" w14:textId="77718D44" w:rsidR="00C61CE0" w:rsidRDefault="00C61CE0" w:rsidP="00C61CE0">
      <w:pPr>
        <w:spacing w:after="0" w:line="240" w:lineRule="auto"/>
        <w:jc w:val="both"/>
        <w:rPr>
          <w:sz w:val="20"/>
          <w:szCs w:val="20"/>
        </w:rPr>
      </w:pPr>
      <w:r>
        <w:rPr>
          <w:sz w:val="20"/>
          <w:szCs w:val="20"/>
        </w:rPr>
        <w:t xml:space="preserve">El Constructo Lealtad de los Clientes incluye: </w:t>
      </w:r>
    </w:p>
    <w:p w14:paraId="653F5587" w14:textId="1A8BF688" w:rsidR="00C61CE0" w:rsidRDefault="00C61CE0" w:rsidP="00C61CE0">
      <w:pPr>
        <w:spacing w:after="0" w:line="240" w:lineRule="auto"/>
        <w:jc w:val="both"/>
        <w:rPr>
          <w:sz w:val="20"/>
          <w:szCs w:val="20"/>
        </w:rPr>
      </w:pPr>
      <w:r>
        <w:rPr>
          <w:sz w:val="20"/>
          <w:szCs w:val="20"/>
        </w:rPr>
        <w:t xml:space="preserve">Lea 1. </w:t>
      </w:r>
      <w:r w:rsidRPr="00C61CE0">
        <w:rPr>
          <w:sz w:val="20"/>
          <w:szCs w:val="20"/>
        </w:rPr>
        <w:t>Retorno de visita a la caja rural con el que ya he tratado</w:t>
      </w:r>
      <w:r>
        <w:rPr>
          <w:sz w:val="20"/>
          <w:szCs w:val="20"/>
        </w:rPr>
        <w:t>.</w:t>
      </w:r>
    </w:p>
    <w:p w14:paraId="49C104B8" w14:textId="198846D4" w:rsidR="00C61CE0" w:rsidRDefault="00C61CE0" w:rsidP="00C61CE0">
      <w:pPr>
        <w:spacing w:after="0" w:line="240" w:lineRule="auto"/>
        <w:jc w:val="both"/>
        <w:rPr>
          <w:sz w:val="20"/>
          <w:szCs w:val="20"/>
        </w:rPr>
      </w:pPr>
      <w:r>
        <w:rPr>
          <w:sz w:val="20"/>
          <w:szCs w:val="20"/>
        </w:rPr>
        <w:t xml:space="preserve">Lea 2. </w:t>
      </w:r>
      <w:r w:rsidRPr="00C61CE0">
        <w:rPr>
          <w:sz w:val="20"/>
          <w:szCs w:val="20"/>
        </w:rPr>
        <w:t>Recomendación a familiares y amigos que visiten la caja rural</w:t>
      </w:r>
      <w:r>
        <w:rPr>
          <w:sz w:val="20"/>
          <w:szCs w:val="20"/>
        </w:rPr>
        <w:t>.</w:t>
      </w:r>
    </w:p>
    <w:p w14:paraId="3FD5E681" w14:textId="1FC9CFBE" w:rsidR="00384CE8" w:rsidRPr="005A747C" w:rsidRDefault="00C61CE0" w:rsidP="00384CE8">
      <w:pPr>
        <w:spacing w:after="0" w:line="240" w:lineRule="auto"/>
        <w:jc w:val="both"/>
        <w:rPr>
          <w:sz w:val="20"/>
          <w:szCs w:val="20"/>
        </w:rPr>
      </w:pPr>
      <w:r>
        <w:rPr>
          <w:sz w:val="20"/>
          <w:szCs w:val="20"/>
        </w:rPr>
        <w:t xml:space="preserve">Lea 3. </w:t>
      </w:r>
      <w:r w:rsidRPr="00C61CE0">
        <w:rPr>
          <w:sz w:val="20"/>
          <w:szCs w:val="20"/>
        </w:rPr>
        <w:t>Difusión de boca a boca positivo sobre la caja rural</w:t>
      </w:r>
      <w:r>
        <w:rPr>
          <w:sz w:val="20"/>
          <w:szCs w:val="20"/>
        </w:rPr>
        <w:t>.</w:t>
      </w:r>
      <w:r w:rsidR="00CF2298">
        <w:rPr>
          <w:sz w:val="20"/>
          <w:szCs w:val="20"/>
        </w:rPr>
        <w:t xml:space="preserve"> </w:t>
      </w:r>
      <w:r w:rsidR="00384CE8" w:rsidRPr="005A747C">
        <w:rPr>
          <w:sz w:val="20"/>
          <w:szCs w:val="20"/>
        </w:rPr>
        <w:t xml:space="preserve">Fuente: </w:t>
      </w:r>
      <w:r w:rsidR="00384CE8" w:rsidRPr="00384CE8">
        <w:rPr>
          <w:sz w:val="20"/>
          <w:szCs w:val="20"/>
        </w:rPr>
        <w:t xml:space="preserve">Elaboración propia según Smart </w:t>
      </w:r>
      <w:r w:rsidR="00CF2298" w:rsidRPr="00384CE8">
        <w:rPr>
          <w:sz w:val="20"/>
          <w:szCs w:val="20"/>
        </w:rPr>
        <w:t>PLS</w:t>
      </w:r>
      <w:r w:rsidR="00CF2298">
        <w:rPr>
          <w:sz w:val="20"/>
          <w:szCs w:val="20"/>
        </w:rPr>
        <w:t xml:space="preserve">. </w:t>
      </w:r>
      <w:r w:rsidR="00384CE8" w:rsidRPr="005A747C">
        <w:rPr>
          <w:sz w:val="20"/>
          <w:szCs w:val="20"/>
        </w:rPr>
        <w:t xml:space="preserve">Fin de descripción de </w:t>
      </w:r>
      <w:r w:rsidR="00CF2298">
        <w:rPr>
          <w:sz w:val="20"/>
          <w:szCs w:val="20"/>
        </w:rPr>
        <w:t>Tabla</w:t>
      </w:r>
      <w:r w:rsidR="003F5529">
        <w:rPr>
          <w:sz w:val="20"/>
          <w:szCs w:val="20"/>
        </w:rPr>
        <w:t xml:space="preserve"> 1. Vuelva</w:t>
      </w:r>
      <w:r w:rsidR="00384CE8" w:rsidRPr="005A747C">
        <w:rPr>
          <w:sz w:val="20"/>
          <w:szCs w:val="20"/>
        </w:rPr>
        <w:t xml:space="preserve"> al texto.</w:t>
      </w:r>
    </w:p>
    <w:p w14:paraId="0364CA83" w14:textId="77777777" w:rsidR="00384CE8" w:rsidRDefault="00384CE8" w:rsidP="0089552B">
      <w:pPr>
        <w:spacing w:after="0" w:line="240" w:lineRule="auto"/>
        <w:jc w:val="both"/>
        <w:rPr>
          <w:sz w:val="20"/>
          <w:szCs w:val="20"/>
        </w:rPr>
      </w:pPr>
    </w:p>
    <w:p w14:paraId="347133E8" w14:textId="3E99BB86" w:rsidR="002316EB" w:rsidRPr="003451F6" w:rsidRDefault="00FA373F" w:rsidP="0089552B">
      <w:pPr>
        <w:spacing w:after="0" w:line="240" w:lineRule="auto"/>
        <w:jc w:val="both"/>
        <w:rPr>
          <w:b/>
          <w:sz w:val="20"/>
          <w:szCs w:val="20"/>
        </w:rPr>
      </w:pPr>
      <w:r w:rsidRPr="000E0C8F">
        <w:rPr>
          <w:b/>
          <w:sz w:val="20"/>
          <w:szCs w:val="20"/>
        </w:rPr>
        <w:t>El Modelo Teórico</w:t>
      </w:r>
      <w:r w:rsidR="003451F6">
        <w:rPr>
          <w:b/>
          <w:sz w:val="20"/>
          <w:szCs w:val="20"/>
        </w:rPr>
        <w:t>.</w:t>
      </w:r>
    </w:p>
    <w:p w14:paraId="75E12531" w14:textId="77777777" w:rsidR="002316EB" w:rsidRDefault="002316EB" w:rsidP="0089552B">
      <w:pPr>
        <w:spacing w:after="0" w:line="240" w:lineRule="auto"/>
        <w:jc w:val="both"/>
        <w:rPr>
          <w:b/>
          <w:i/>
          <w:sz w:val="20"/>
          <w:szCs w:val="20"/>
        </w:rPr>
      </w:pPr>
    </w:p>
    <w:p w14:paraId="595CC7CE" w14:textId="2C95946A" w:rsidR="002316EB" w:rsidRDefault="00FA373F" w:rsidP="0089552B">
      <w:pPr>
        <w:spacing w:after="0" w:line="240" w:lineRule="auto"/>
        <w:jc w:val="both"/>
        <w:rPr>
          <w:sz w:val="20"/>
          <w:szCs w:val="20"/>
        </w:rPr>
      </w:pPr>
      <w:r>
        <w:rPr>
          <w:sz w:val="20"/>
          <w:szCs w:val="20"/>
        </w:rPr>
        <w:t xml:space="preserve">El método mínimos cuadrados parciales (PLS) se basa en el análisis de la varianza, lo que implica una metodología de modelación más flexible al no exigir supuestos paramétricos rigurosos, principalmente en la distribución de los datos. En este sentido, </w:t>
      </w:r>
      <w:proofErr w:type="spellStart"/>
      <w:r>
        <w:rPr>
          <w:sz w:val="20"/>
          <w:szCs w:val="20"/>
        </w:rPr>
        <w:t>Marko</w:t>
      </w:r>
      <w:proofErr w:type="spellEnd"/>
      <w:r>
        <w:rPr>
          <w:sz w:val="20"/>
          <w:szCs w:val="20"/>
        </w:rPr>
        <w:t xml:space="preserve"> </w:t>
      </w:r>
      <w:proofErr w:type="spellStart"/>
      <w:r>
        <w:rPr>
          <w:sz w:val="20"/>
          <w:szCs w:val="20"/>
        </w:rPr>
        <w:t>Sarstedt</w:t>
      </w:r>
      <w:proofErr w:type="spellEnd"/>
      <w:r>
        <w:rPr>
          <w:sz w:val="20"/>
          <w:szCs w:val="20"/>
        </w:rPr>
        <w:t xml:space="preserve"> y Jun-</w:t>
      </w:r>
      <w:proofErr w:type="spellStart"/>
      <w:r>
        <w:rPr>
          <w:sz w:val="20"/>
          <w:szCs w:val="20"/>
        </w:rPr>
        <w:t>Hwa</w:t>
      </w:r>
      <w:proofErr w:type="spellEnd"/>
      <w:r>
        <w:rPr>
          <w:sz w:val="20"/>
          <w:szCs w:val="20"/>
        </w:rPr>
        <w:t xml:space="preserve"> </w:t>
      </w:r>
      <w:proofErr w:type="spellStart"/>
      <w:r>
        <w:rPr>
          <w:sz w:val="20"/>
          <w:szCs w:val="20"/>
        </w:rPr>
        <w:t>Cheah</w:t>
      </w:r>
      <w:proofErr w:type="spellEnd"/>
      <w:r>
        <w:rPr>
          <w:sz w:val="20"/>
          <w:szCs w:val="20"/>
        </w:rPr>
        <w:t xml:space="preserve"> (2019) afirman que la modelación de ecuaciones estructurales con mínimos cuadrados parciales (PLS-SEM) no requiere de las condiciones exigidas por la tradicional modelación de ecuaciones estructurales de covarianza (CB-SEM, por sus siglas en inglés) respecto a las distribuciones estadísticas (normalidad de los datos tamaño de la muestra en referencia a las variables observadas); es decir, utilizan pruebas no paramétricas. Los modelos PLS se utilizan bajo situaciones de predicción y no confirmatorias.</w:t>
      </w:r>
    </w:p>
    <w:p w14:paraId="016B5F28" w14:textId="77777777" w:rsidR="0089552B" w:rsidRDefault="0089552B" w:rsidP="0089552B">
      <w:pPr>
        <w:spacing w:after="0" w:line="240" w:lineRule="auto"/>
        <w:jc w:val="both"/>
        <w:rPr>
          <w:sz w:val="20"/>
          <w:szCs w:val="20"/>
        </w:rPr>
      </w:pPr>
    </w:p>
    <w:p w14:paraId="5769FF2E" w14:textId="77777777" w:rsidR="002316EB" w:rsidRDefault="00FA373F" w:rsidP="0089552B">
      <w:pPr>
        <w:spacing w:after="0" w:line="240" w:lineRule="auto"/>
        <w:ind w:firstLine="708"/>
        <w:jc w:val="both"/>
        <w:rPr>
          <w:sz w:val="20"/>
          <w:szCs w:val="20"/>
        </w:rPr>
      </w:pPr>
      <w:r>
        <w:rPr>
          <w:sz w:val="20"/>
          <w:szCs w:val="20"/>
        </w:rPr>
        <w:t>Para estimar el modelo teórico (Figura 1), se empleó la técnica de análisis de PLS mediante el uso del software Smart PLS 3.3.2 (</w:t>
      </w:r>
      <w:proofErr w:type="spellStart"/>
      <w:r>
        <w:rPr>
          <w:sz w:val="20"/>
          <w:szCs w:val="20"/>
        </w:rPr>
        <w:t>Sarstedt</w:t>
      </w:r>
      <w:proofErr w:type="spellEnd"/>
      <w:r>
        <w:rPr>
          <w:sz w:val="20"/>
          <w:szCs w:val="20"/>
        </w:rPr>
        <w:t xml:space="preserve"> y </w:t>
      </w:r>
      <w:proofErr w:type="spellStart"/>
      <w:r>
        <w:rPr>
          <w:sz w:val="20"/>
          <w:szCs w:val="20"/>
        </w:rPr>
        <w:t>Cheah</w:t>
      </w:r>
      <w:proofErr w:type="spellEnd"/>
      <w:r>
        <w:rPr>
          <w:sz w:val="20"/>
          <w:szCs w:val="20"/>
        </w:rPr>
        <w:t xml:space="preserve">, 2019). Antes del estudio de modelado estructural, se debe evaluar el modelo de medición del constructo latente para determinar su </w:t>
      </w:r>
      <w:proofErr w:type="spellStart"/>
      <w:r>
        <w:rPr>
          <w:sz w:val="20"/>
          <w:szCs w:val="20"/>
        </w:rPr>
        <w:t>dimensionalidad</w:t>
      </w:r>
      <w:proofErr w:type="spellEnd"/>
      <w:r>
        <w:rPr>
          <w:sz w:val="20"/>
          <w:szCs w:val="20"/>
        </w:rPr>
        <w:t>, validez y confiabilidad utilizando el análisis factorial confirmatorio (Roldan y Cepeda, 2016). Por otro lado, para la comprobación de la validez de los constructos, fue necesario analizar la validez convergente y discriminante. La validez convergente del modelo de medición generalmente se determina examinando la carga de factores, la varianza promedio extraída (AVE) y la fiabilidad compuesta (CR) (Ruiz et al., 2010).</w:t>
      </w:r>
    </w:p>
    <w:p w14:paraId="186F5D48" w14:textId="77777777" w:rsidR="002316EB" w:rsidRDefault="002316EB" w:rsidP="0089552B">
      <w:pPr>
        <w:spacing w:after="0" w:line="240" w:lineRule="auto"/>
        <w:ind w:firstLine="708"/>
        <w:jc w:val="both"/>
        <w:rPr>
          <w:sz w:val="20"/>
          <w:szCs w:val="20"/>
        </w:rPr>
      </w:pPr>
    </w:p>
    <w:p w14:paraId="035A5745" w14:textId="77777777" w:rsidR="002316EB" w:rsidRDefault="002316EB" w:rsidP="0089552B">
      <w:pPr>
        <w:spacing w:after="0" w:line="240" w:lineRule="auto"/>
        <w:ind w:firstLine="708"/>
        <w:jc w:val="both"/>
        <w:rPr>
          <w:sz w:val="20"/>
          <w:szCs w:val="20"/>
        </w:rPr>
      </w:pPr>
    </w:p>
    <w:p w14:paraId="3BD2A9D0" w14:textId="2ABBE59D" w:rsidR="002316EB" w:rsidRDefault="00FA373F" w:rsidP="0089552B">
      <w:pPr>
        <w:spacing w:after="0" w:line="240" w:lineRule="auto"/>
        <w:rPr>
          <w:b/>
          <w:sz w:val="20"/>
          <w:szCs w:val="20"/>
        </w:rPr>
      </w:pPr>
      <w:r>
        <w:rPr>
          <w:b/>
          <w:sz w:val="20"/>
          <w:szCs w:val="20"/>
        </w:rPr>
        <w:t xml:space="preserve">Resultados </w:t>
      </w:r>
      <w:r w:rsidR="0089552B">
        <w:rPr>
          <w:b/>
          <w:sz w:val="20"/>
          <w:szCs w:val="20"/>
        </w:rPr>
        <w:t>E</w:t>
      </w:r>
      <w:r>
        <w:rPr>
          <w:b/>
          <w:sz w:val="20"/>
          <w:szCs w:val="20"/>
        </w:rPr>
        <w:t xml:space="preserve">mpíricos </w:t>
      </w:r>
      <w:r w:rsidR="0089552B">
        <w:rPr>
          <w:b/>
          <w:sz w:val="20"/>
          <w:szCs w:val="20"/>
        </w:rPr>
        <w:t>O</w:t>
      </w:r>
      <w:r>
        <w:rPr>
          <w:b/>
          <w:sz w:val="20"/>
          <w:szCs w:val="20"/>
        </w:rPr>
        <w:t>btenidos</w:t>
      </w:r>
      <w:r w:rsidR="003451F6">
        <w:rPr>
          <w:b/>
          <w:sz w:val="20"/>
          <w:szCs w:val="20"/>
        </w:rPr>
        <w:t>.</w:t>
      </w:r>
    </w:p>
    <w:p w14:paraId="1BC96FCD" w14:textId="77777777" w:rsidR="002316EB" w:rsidRDefault="002316EB" w:rsidP="0089552B">
      <w:pPr>
        <w:spacing w:after="0" w:line="240" w:lineRule="auto"/>
        <w:rPr>
          <w:b/>
          <w:sz w:val="20"/>
          <w:szCs w:val="20"/>
        </w:rPr>
      </w:pPr>
    </w:p>
    <w:p w14:paraId="19D2B9C8" w14:textId="77777777" w:rsidR="002316EB" w:rsidRDefault="00FA373F" w:rsidP="0089552B">
      <w:pPr>
        <w:spacing w:after="0" w:line="240" w:lineRule="auto"/>
        <w:jc w:val="both"/>
        <w:rPr>
          <w:sz w:val="20"/>
          <w:szCs w:val="20"/>
        </w:rPr>
      </w:pPr>
      <w:r>
        <w:rPr>
          <w:sz w:val="20"/>
          <w:szCs w:val="20"/>
        </w:rPr>
        <w:t>Los resultados demográficos fueron los siguientes: los varones representan el 68,63% y las mujeres, el 31,37%. En cuanto a la edad de los encuestados, se observa que el 6% son menores de 25 años; 15,6% tiene entre 26 a 40 años; 40,1% tiene entre 41 a 55 años y 38,3% son mayores de 56 años. En relación al nivel de educación de los encuestados, el 29% tiene educación secundaria incompleta, el 66%, educación secundaria completa y el 5%, estudios superiores técnicos. Con respecto al tipo de actividad, el 42% se dedica a la agricultura, el 39%, a la ganadería, el 13%, a las actividades de servicios y un 6%, a la actividad manufactura.</w:t>
      </w:r>
    </w:p>
    <w:p w14:paraId="442DEADF" w14:textId="77777777" w:rsidR="002316EB" w:rsidRDefault="002316EB" w:rsidP="0089552B">
      <w:pPr>
        <w:spacing w:after="0" w:line="240" w:lineRule="auto"/>
        <w:jc w:val="both"/>
        <w:rPr>
          <w:sz w:val="20"/>
          <w:szCs w:val="20"/>
        </w:rPr>
      </w:pPr>
    </w:p>
    <w:p w14:paraId="30985636" w14:textId="77777777" w:rsidR="002316EB" w:rsidRPr="003451F6" w:rsidRDefault="002316EB" w:rsidP="0089552B">
      <w:pPr>
        <w:spacing w:after="0" w:line="240" w:lineRule="auto"/>
        <w:jc w:val="both"/>
        <w:rPr>
          <w:sz w:val="20"/>
          <w:szCs w:val="20"/>
        </w:rPr>
      </w:pPr>
    </w:p>
    <w:p w14:paraId="5F30305B" w14:textId="05647B06" w:rsidR="002316EB" w:rsidRPr="003451F6" w:rsidRDefault="00FA373F" w:rsidP="0089552B">
      <w:pPr>
        <w:spacing w:after="0" w:line="240" w:lineRule="auto"/>
        <w:rPr>
          <w:b/>
          <w:sz w:val="20"/>
          <w:szCs w:val="20"/>
        </w:rPr>
      </w:pPr>
      <w:r w:rsidRPr="003451F6">
        <w:rPr>
          <w:b/>
          <w:sz w:val="20"/>
          <w:szCs w:val="20"/>
        </w:rPr>
        <w:t>Modelo de medición</w:t>
      </w:r>
      <w:r w:rsidR="003451F6">
        <w:rPr>
          <w:b/>
          <w:sz w:val="20"/>
          <w:szCs w:val="20"/>
        </w:rPr>
        <w:t>.</w:t>
      </w:r>
    </w:p>
    <w:p w14:paraId="56BBEB9F" w14:textId="77777777" w:rsidR="002316EB" w:rsidRDefault="002316EB" w:rsidP="0089552B">
      <w:pPr>
        <w:spacing w:after="0" w:line="240" w:lineRule="auto"/>
        <w:rPr>
          <w:b/>
          <w:i/>
          <w:sz w:val="20"/>
          <w:szCs w:val="20"/>
        </w:rPr>
      </w:pPr>
    </w:p>
    <w:p w14:paraId="024B276E" w14:textId="77777777" w:rsidR="002316EB" w:rsidRDefault="00FA373F" w:rsidP="0089552B">
      <w:pPr>
        <w:spacing w:after="0" w:line="240" w:lineRule="auto"/>
        <w:jc w:val="both"/>
        <w:rPr>
          <w:sz w:val="20"/>
          <w:szCs w:val="20"/>
        </w:rPr>
      </w:pPr>
      <w:r>
        <w:rPr>
          <w:sz w:val="20"/>
          <w:szCs w:val="20"/>
        </w:rPr>
        <w:t>Para estimar el modelo teórico (Figura 1), se empleó la técnica de análisis de PLS mediante el uso del software Smart PLS 3.3.2 (</w:t>
      </w:r>
      <w:proofErr w:type="spellStart"/>
      <w:r>
        <w:rPr>
          <w:sz w:val="20"/>
          <w:szCs w:val="20"/>
        </w:rPr>
        <w:t>Sarstedt</w:t>
      </w:r>
      <w:proofErr w:type="spellEnd"/>
      <w:r>
        <w:rPr>
          <w:sz w:val="20"/>
          <w:szCs w:val="20"/>
        </w:rPr>
        <w:t xml:space="preserve"> y </w:t>
      </w:r>
      <w:proofErr w:type="spellStart"/>
      <w:r>
        <w:rPr>
          <w:sz w:val="20"/>
          <w:szCs w:val="20"/>
        </w:rPr>
        <w:t>Cheah</w:t>
      </w:r>
      <w:proofErr w:type="spellEnd"/>
      <w:r>
        <w:rPr>
          <w:sz w:val="20"/>
          <w:szCs w:val="20"/>
        </w:rPr>
        <w:t xml:space="preserve">, 2019). La Figura 2 muestra los resultados de las cargas factoriales que son mayores a 0,6, según lo recomendado por </w:t>
      </w:r>
      <w:proofErr w:type="spellStart"/>
      <w:r>
        <w:rPr>
          <w:sz w:val="20"/>
          <w:szCs w:val="20"/>
        </w:rPr>
        <w:t>Henseler</w:t>
      </w:r>
      <w:proofErr w:type="spellEnd"/>
      <w:r>
        <w:rPr>
          <w:sz w:val="20"/>
          <w:szCs w:val="20"/>
        </w:rPr>
        <w:t xml:space="preserve"> et al. (2009). </w:t>
      </w:r>
    </w:p>
    <w:p w14:paraId="18345352" w14:textId="4BE829DE" w:rsidR="002316EB" w:rsidRDefault="002316EB" w:rsidP="0089552B">
      <w:pPr>
        <w:spacing w:after="0" w:line="240" w:lineRule="auto"/>
        <w:jc w:val="both"/>
        <w:rPr>
          <w:sz w:val="20"/>
          <w:szCs w:val="20"/>
        </w:rPr>
      </w:pPr>
    </w:p>
    <w:p w14:paraId="249B127A" w14:textId="77777777" w:rsidR="0089552B" w:rsidRDefault="0089552B" w:rsidP="0089552B">
      <w:pPr>
        <w:spacing w:after="0" w:line="240" w:lineRule="auto"/>
        <w:jc w:val="both"/>
        <w:rPr>
          <w:sz w:val="20"/>
          <w:szCs w:val="20"/>
        </w:rPr>
      </w:pPr>
    </w:p>
    <w:p w14:paraId="2A6D38A6" w14:textId="77777777" w:rsidR="002316EB" w:rsidRDefault="00FA373F" w:rsidP="0089552B">
      <w:pPr>
        <w:spacing w:after="0" w:line="240" w:lineRule="auto"/>
        <w:jc w:val="center"/>
        <w:rPr>
          <w:b/>
          <w:sz w:val="20"/>
          <w:szCs w:val="20"/>
        </w:rPr>
      </w:pPr>
      <w:r>
        <w:rPr>
          <w:b/>
          <w:sz w:val="20"/>
          <w:szCs w:val="20"/>
        </w:rPr>
        <w:t>Figura 2</w:t>
      </w:r>
    </w:p>
    <w:p w14:paraId="3B230A34" w14:textId="77777777" w:rsidR="002316EB" w:rsidRDefault="00FA373F" w:rsidP="0089552B">
      <w:pPr>
        <w:spacing w:after="0" w:line="240" w:lineRule="auto"/>
        <w:jc w:val="center"/>
        <w:rPr>
          <w:sz w:val="20"/>
          <w:szCs w:val="20"/>
        </w:rPr>
      </w:pPr>
      <w:r>
        <w:rPr>
          <w:i/>
          <w:sz w:val="20"/>
          <w:szCs w:val="20"/>
        </w:rPr>
        <w:t>Modelo de Investigación</w:t>
      </w:r>
    </w:p>
    <w:p w14:paraId="4A4B34D2" w14:textId="77777777" w:rsidR="002316EB" w:rsidRDefault="00FA373F" w:rsidP="0089552B">
      <w:pPr>
        <w:spacing w:after="0" w:line="240" w:lineRule="auto"/>
        <w:rPr>
          <w:sz w:val="20"/>
          <w:szCs w:val="20"/>
        </w:rPr>
      </w:pPr>
      <w:r>
        <w:rPr>
          <w:noProof/>
          <w:sz w:val="20"/>
          <w:szCs w:val="20"/>
          <w:lang w:val="es-AR" w:eastAsia="es-AR"/>
        </w:rPr>
        <w:lastRenderedPageBreak/>
        <w:drawing>
          <wp:inline distT="0" distB="0" distL="0" distR="0" wp14:anchorId="1A5BA2F5" wp14:editId="49180479">
            <wp:extent cx="5612130" cy="4283710"/>
            <wp:effectExtent l="0" t="0" r="127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grayscl/>
                    </a:blip>
                    <a:srcRect/>
                    <a:stretch>
                      <a:fillRect/>
                    </a:stretch>
                  </pic:blipFill>
                  <pic:spPr>
                    <a:xfrm>
                      <a:off x="0" y="0"/>
                      <a:ext cx="5612130" cy="4283710"/>
                    </a:xfrm>
                    <a:prstGeom prst="rect">
                      <a:avLst/>
                    </a:prstGeom>
                    <a:ln/>
                  </pic:spPr>
                </pic:pic>
              </a:graphicData>
            </a:graphic>
          </wp:inline>
        </w:drawing>
      </w:r>
    </w:p>
    <w:p w14:paraId="42364484" w14:textId="77777777" w:rsidR="002316EB" w:rsidRPr="0089552B" w:rsidRDefault="00FA373F" w:rsidP="0089552B">
      <w:pPr>
        <w:spacing w:after="0" w:line="240" w:lineRule="auto"/>
        <w:jc w:val="center"/>
        <w:rPr>
          <w:sz w:val="16"/>
          <w:szCs w:val="16"/>
        </w:rPr>
      </w:pPr>
      <w:r w:rsidRPr="0089552B">
        <w:rPr>
          <w:i/>
          <w:sz w:val="16"/>
          <w:szCs w:val="16"/>
        </w:rPr>
        <w:t>Nota</w:t>
      </w:r>
      <w:r w:rsidRPr="0089552B">
        <w:rPr>
          <w:sz w:val="16"/>
          <w:szCs w:val="16"/>
        </w:rPr>
        <w:t>. Elaboración propia según Smart PLS</w:t>
      </w:r>
    </w:p>
    <w:p w14:paraId="36EF48D5" w14:textId="77777777" w:rsidR="002316EB" w:rsidRDefault="002316EB" w:rsidP="0089552B">
      <w:pPr>
        <w:spacing w:after="0" w:line="240" w:lineRule="auto"/>
        <w:rPr>
          <w:rFonts w:ascii="Oswald Regular" w:eastAsia="Oswald Regular" w:hAnsi="Oswald Regular" w:cs="Oswald Regular"/>
          <w:sz w:val="20"/>
          <w:szCs w:val="20"/>
        </w:rPr>
      </w:pPr>
    </w:p>
    <w:p w14:paraId="14C9D4CB" w14:textId="77777777" w:rsidR="002316EB" w:rsidRDefault="002316EB" w:rsidP="0089552B">
      <w:pPr>
        <w:spacing w:after="0" w:line="240" w:lineRule="auto"/>
        <w:rPr>
          <w:rFonts w:ascii="Oswald Regular" w:eastAsia="Oswald Regular" w:hAnsi="Oswald Regular" w:cs="Oswald Regular"/>
          <w:sz w:val="20"/>
          <w:szCs w:val="20"/>
        </w:rPr>
      </w:pPr>
    </w:p>
    <w:p w14:paraId="2FCD1EB1" w14:textId="48A0690F" w:rsidR="003160B9" w:rsidRDefault="003160B9" w:rsidP="003160B9">
      <w:pPr>
        <w:spacing w:after="0" w:line="240" w:lineRule="auto"/>
        <w:rPr>
          <w:sz w:val="20"/>
          <w:szCs w:val="20"/>
        </w:rPr>
      </w:pPr>
      <w:r w:rsidRPr="00EB330C">
        <w:rPr>
          <w:sz w:val="20"/>
          <w:szCs w:val="20"/>
        </w:rPr>
        <w:t>Descripción</w:t>
      </w:r>
      <w:r>
        <w:rPr>
          <w:sz w:val="20"/>
          <w:szCs w:val="20"/>
        </w:rPr>
        <w:t xml:space="preserve"> Figura 2</w:t>
      </w:r>
      <w:r w:rsidRPr="00EB330C">
        <w:rPr>
          <w:sz w:val="20"/>
          <w:szCs w:val="20"/>
        </w:rPr>
        <w:t xml:space="preserve">. Modelo </w:t>
      </w:r>
      <w:r>
        <w:rPr>
          <w:sz w:val="20"/>
          <w:szCs w:val="20"/>
        </w:rPr>
        <w:t>de Investigación</w:t>
      </w:r>
      <w:r w:rsidRPr="00EB330C">
        <w:rPr>
          <w:sz w:val="20"/>
          <w:szCs w:val="20"/>
        </w:rPr>
        <w:t>.</w:t>
      </w:r>
    </w:p>
    <w:p w14:paraId="6B1F3D25" w14:textId="77777777" w:rsidR="003160B9" w:rsidRDefault="003160B9" w:rsidP="003160B9">
      <w:pPr>
        <w:spacing w:after="0" w:line="240" w:lineRule="auto"/>
        <w:rPr>
          <w:sz w:val="20"/>
          <w:szCs w:val="20"/>
        </w:rPr>
      </w:pPr>
    </w:p>
    <w:p w14:paraId="2879B445" w14:textId="369297FA" w:rsidR="003160B9" w:rsidRPr="00277919" w:rsidRDefault="003160B9" w:rsidP="00277919">
      <w:pPr>
        <w:spacing w:after="0" w:line="240" w:lineRule="auto"/>
        <w:jc w:val="both"/>
        <w:rPr>
          <w:sz w:val="20"/>
          <w:szCs w:val="20"/>
        </w:rPr>
      </w:pPr>
      <w:r w:rsidRPr="00277919">
        <w:rPr>
          <w:sz w:val="20"/>
          <w:szCs w:val="20"/>
        </w:rPr>
        <w:t>Descripción. A través de figuras geométricas se evidencia con valores cuantitativos como los diferentes conceptos afectan la lealtad de los clientes. Los servicios financieros en su conjunto en 0,327, la Información un 0,273, el trato del trabajador un 0,245 y la Tangibilidad 0,096 influyen significativamente en la lealtad de los clientes, ascendiendo esta variable a 0,750. Luego, el Constructo Lealtad de los Clientes de desglosa en</w:t>
      </w:r>
      <w:r w:rsidR="00277919">
        <w:rPr>
          <w:sz w:val="20"/>
          <w:szCs w:val="20"/>
        </w:rPr>
        <w:t xml:space="preserve"> </w:t>
      </w:r>
      <w:r w:rsidR="00D4186A">
        <w:rPr>
          <w:sz w:val="20"/>
          <w:szCs w:val="20"/>
        </w:rPr>
        <w:t>Lea 1:</w:t>
      </w:r>
      <w:r w:rsidRPr="00277919">
        <w:rPr>
          <w:sz w:val="20"/>
          <w:szCs w:val="20"/>
        </w:rPr>
        <w:t xml:space="preserve"> Retorno de visita a la caja rural con el q</w:t>
      </w:r>
      <w:r w:rsidR="00D4186A">
        <w:rPr>
          <w:sz w:val="20"/>
          <w:szCs w:val="20"/>
        </w:rPr>
        <w:t>ue ya he tratado (0,791). Lea 2:</w:t>
      </w:r>
      <w:r w:rsidRPr="00277919">
        <w:rPr>
          <w:sz w:val="20"/>
          <w:szCs w:val="20"/>
        </w:rPr>
        <w:t xml:space="preserve"> Recomendación a familiares y amigos que visite</w:t>
      </w:r>
      <w:r w:rsidR="00D4186A">
        <w:rPr>
          <w:sz w:val="20"/>
          <w:szCs w:val="20"/>
        </w:rPr>
        <w:t>n la caja rural (0,799) y Lea 3:</w:t>
      </w:r>
      <w:r w:rsidRPr="00277919">
        <w:rPr>
          <w:sz w:val="20"/>
          <w:szCs w:val="20"/>
        </w:rPr>
        <w:t xml:space="preserve"> Difusión de boca a boca positivo sobre la caja rural (0,812). </w:t>
      </w:r>
      <w:r w:rsidR="00277919" w:rsidRPr="00277919">
        <w:rPr>
          <w:sz w:val="20"/>
          <w:szCs w:val="20"/>
        </w:rPr>
        <w:t xml:space="preserve">Elaboración propia según Smart PLS. </w:t>
      </w:r>
      <w:r w:rsidRPr="00277919">
        <w:rPr>
          <w:sz w:val="20"/>
          <w:szCs w:val="20"/>
        </w:rPr>
        <w:t>Fin de Descripción Figura 2. Vuelva al Texto.</w:t>
      </w:r>
    </w:p>
    <w:p w14:paraId="48BFEEF3" w14:textId="77777777" w:rsidR="003160B9" w:rsidRPr="00277919" w:rsidRDefault="003160B9" w:rsidP="00277919">
      <w:pPr>
        <w:spacing w:after="0" w:line="240" w:lineRule="auto"/>
        <w:jc w:val="both"/>
        <w:rPr>
          <w:rFonts w:ascii="Oswald Regular" w:eastAsia="Oswald Regular" w:hAnsi="Oswald Regular" w:cs="Oswald Regular"/>
          <w:sz w:val="20"/>
          <w:szCs w:val="20"/>
        </w:rPr>
      </w:pPr>
    </w:p>
    <w:p w14:paraId="063EBC5E" w14:textId="77777777" w:rsidR="003160B9" w:rsidRDefault="003160B9" w:rsidP="0089552B">
      <w:pPr>
        <w:spacing w:after="0" w:line="240" w:lineRule="auto"/>
        <w:rPr>
          <w:rFonts w:ascii="Oswald Regular" w:eastAsia="Oswald Regular" w:hAnsi="Oswald Regular" w:cs="Oswald Regular"/>
          <w:sz w:val="20"/>
          <w:szCs w:val="20"/>
        </w:rPr>
      </w:pPr>
    </w:p>
    <w:p w14:paraId="1DF5392E" w14:textId="7AD0577D" w:rsidR="002316EB" w:rsidRPr="003451F6" w:rsidRDefault="00FA373F" w:rsidP="0089552B">
      <w:pPr>
        <w:spacing w:after="0" w:line="240" w:lineRule="auto"/>
        <w:rPr>
          <w:b/>
          <w:sz w:val="20"/>
          <w:szCs w:val="20"/>
        </w:rPr>
      </w:pPr>
      <w:r w:rsidRPr="003451F6">
        <w:rPr>
          <w:b/>
          <w:sz w:val="20"/>
          <w:szCs w:val="20"/>
        </w:rPr>
        <w:t>Validez convergente</w:t>
      </w:r>
      <w:r w:rsidR="003451F6">
        <w:rPr>
          <w:b/>
          <w:sz w:val="20"/>
          <w:szCs w:val="20"/>
        </w:rPr>
        <w:t>.</w:t>
      </w:r>
    </w:p>
    <w:p w14:paraId="639F4D7C" w14:textId="77777777" w:rsidR="002316EB" w:rsidRDefault="002316EB" w:rsidP="0089552B">
      <w:pPr>
        <w:spacing w:after="0" w:line="240" w:lineRule="auto"/>
        <w:rPr>
          <w:b/>
          <w:i/>
          <w:sz w:val="20"/>
          <w:szCs w:val="20"/>
        </w:rPr>
      </w:pPr>
    </w:p>
    <w:p w14:paraId="716C7B97" w14:textId="77777777" w:rsidR="002316EB" w:rsidRDefault="00FA373F" w:rsidP="0089552B">
      <w:pPr>
        <w:spacing w:after="0" w:line="240" w:lineRule="auto"/>
        <w:jc w:val="both"/>
        <w:rPr>
          <w:sz w:val="20"/>
          <w:szCs w:val="20"/>
        </w:rPr>
      </w:pPr>
      <w:r>
        <w:rPr>
          <w:sz w:val="20"/>
          <w:szCs w:val="20"/>
        </w:rPr>
        <w:t xml:space="preserve">Para analizar la validez convergente se ha utilizado la varianza promedio extraída (AVE), lo cual debería ser un valor superior a 0,5 (Becker et al., 2018). También en la Tabla 2 se presenta el grado de confiabilidad compuesta (CR) donde el indicador (variables observables) del constructo representa a la variable latente, los valores deben superar el 0,7 según </w:t>
      </w:r>
      <w:proofErr w:type="spellStart"/>
      <w:r>
        <w:rPr>
          <w:sz w:val="20"/>
          <w:szCs w:val="20"/>
        </w:rPr>
        <w:t>Wynne</w:t>
      </w:r>
      <w:proofErr w:type="spellEnd"/>
      <w:r>
        <w:rPr>
          <w:sz w:val="20"/>
          <w:szCs w:val="20"/>
        </w:rPr>
        <w:t xml:space="preserve"> Chin (1998). Por lo tanto, las variables observadas con cargas externas menores a este rango deberían ser eliminados.</w:t>
      </w:r>
    </w:p>
    <w:p w14:paraId="69CE3F1F" w14:textId="6C208A37" w:rsidR="002316EB" w:rsidRDefault="002316EB" w:rsidP="0089552B">
      <w:pPr>
        <w:spacing w:after="0" w:line="240" w:lineRule="auto"/>
        <w:jc w:val="both"/>
        <w:rPr>
          <w:sz w:val="20"/>
          <w:szCs w:val="20"/>
        </w:rPr>
      </w:pPr>
    </w:p>
    <w:p w14:paraId="37634D27" w14:textId="77777777" w:rsidR="0089552B" w:rsidRDefault="0089552B" w:rsidP="0089552B">
      <w:pPr>
        <w:spacing w:after="0" w:line="240" w:lineRule="auto"/>
        <w:jc w:val="both"/>
        <w:rPr>
          <w:sz w:val="20"/>
          <w:szCs w:val="20"/>
        </w:rPr>
      </w:pPr>
    </w:p>
    <w:p w14:paraId="28587E6D" w14:textId="77777777" w:rsidR="002316EB" w:rsidRDefault="00FA373F" w:rsidP="0089552B">
      <w:pPr>
        <w:spacing w:after="0" w:line="240" w:lineRule="auto"/>
        <w:jc w:val="center"/>
        <w:rPr>
          <w:b/>
          <w:sz w:val="20"/>
          <w:szCs w:val="20"/>
        </w:rPr>
      </w:pPr>
      <w:r>
        <w:rPr>
          <w:b/>
          <w:sz w:val="20"/>
          <w:szCs w:val="20"/>
        </w:rPr>
        <w:t>Tabla 2</w:t>
      </w:r>
    </w:p>
    <w:p w14:paraId="65F6E03B" w14:textId="77777777" w:rsidR="002316EB" w:rsidRDefault="00FA373F" w:rsidP="0089552B">
      <w:pPr>
        <w:spacing w:after="0" w:line="240" w:lineRule="auto"/>
        <w:jc w:val="center"/>
        <w:rPr>
          <w:i/>
          <w:sz w:val="20"/>
          <w:szCs w:val="20"/>
        </w:rPr>
      </w:pPr>
      <w:r>
        <w:rPr>
          <w:i/>
          <w:sz w:val="20"/>
          <w:szCs w:val="20"/>
        </w:rPr>
        <w:t>Validez convergente del modelo de medición</w:t>
      </w:r>
    </w:p>
    <w:p w14:paraId="4B051FF5" w14:textId="77777777" w:rsidR="002316EB" w:rsidRDefault="002316EB" w:rsidP="0089552B">
      <w:pPr>
        <w:spacing w:after="0" w:line="240" w:lineRule="auto"/>
        <w:jc w:val="center"/>
        <w:rPr>
          <w:rFonts w:ascii="Oswald Regular" w:eastAsia="Oswald Regular" w:hAnsi="Oswald Regular" w:cs="Oswald Regular"/>
          <w:sz w:val="20"/>
          <w:szCs w:val="20"/>
        </w:rPr>
      </w:pPr>
    </w:p>
    <w:p w14:paraId="12A35144" w14:textId="77777777" w:rsidR="00FA373F" w:rsidRDefault="00FA373F" w:rsidP="0089552B">
      <w:pPr>
        <w:spacing w:after="0" w:line="240" w:lineRule="auto"/>
        <w:jc w:val="center"/>
        <w:rPr>
          <w:i/>
          <w:sz w:val="16"/>
          <w:szCs w:val="16"/>
        </w:rPr>
      </w:pPr>
      <w:r>
        <w:rPr>
          <w:noProof/>
          <w:lang w:val="es-AR" w:eastAsia="es-AR"/>
        </w:rPr>
        <w:lastRenderedPageBreak/>
        <w:drawing>
          <wp:inline distT="0" distB="0" distL="0" distR="0" wp14:anchorId="5A0B34E4" wp14:editId="7060DB1A">
            <wp:extent cx="4844640" cy="4520119"/>
            <wp:effectExtent l="0" t="0" r="0" b="1270"/>
            <wp:docPr id="2" name="Imagen 1" descr="Tabla&#10;&#10;Descripción generada automáticamente">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6B3BB254-9731-3142-822C-B02678788F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Tabla&#10;&#10;Descripción generada automáticamente">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6B3BB254-9731-3142-822C-B02678788F98}"/>
                        </a:ext>
                      </a:extLst>
                    </pic:cNvPr>
                    <pic:cNvPicPr>
                      <a:picLocks noChangeAspect="1"/>
                    </pic:cNvPicPr>
                  </pic:nvPicPr>
                  <pic:blipFill>
                    <a:blip r:embed="rId17"/>
                    <a:stretch>
                      <a:fillRect/>
                    </a:stretch>
                  </pic:blipFill>
                  <pic:spPr>
                    <a:xfrm>
                      <a:off x="0" y="0"/>
                      <a:ext cx="4849119" cy="4524298"/>
                    </a:xfrm>
                    <a:prstGeom prst="rect">
                      <a:avLst/>
                    </a:prstGeom>
                  </pic:spPr>
                </pic:pic>
              </a:graphicData>
            </a:graphic>
          </wp:inline>
        </w:drawing>
      </w:r>
    </w:p>
    <w:p w14:paraId="4EA16F7B" w14:textId="4EC264D6" w:rsidR="002316EB" w:rsidRPr="0089552B" w:rsidRDefault="00FA373F" w:rsidP="0089552B">
      <w:pPr>
        <w:spacing w:after="0" w:line="240" w:lineRule="auto"/>
        <w:jc w:val="center"/>
        <w:rPr>
          <w:sz w:val="16"/>
          <w:szCs w:val="16"/>
        </w:rPr>
      </w:pPr>
      <w:r w:rsidRPr="0089552B">
        <w:rPr>
          <w:i/>
          <w:sz w:val="16"/>
          <w:szCs w:val="16"/>
        </w:rPr>
        <w:t>Nota.</w:t>
      </w:r>
      <w:r w:rsidRPr="0089552B">
        <w:rPr>
          <w:sz w:val="16"/>
          <w:szCs w:val="16"/>
        </w:rPr>
        <w:t xml:space="preserve"> Elaboración propia según Smart PLS</w:t>
      </w:r>
    </w:p>
    <w:p w14:paraId="223EA9FC" w14:textId="77777777" w:rsidR="002316EB" w:rsidRDefault="002316EB" w:rsidP="0089552B">
      <w:pPr>
        <w:spacing w:after="0" w:line="240" w:lineRule="auto"/>
        <w:rPr>
          <w:sz w:val="20"/>
          <w:szCs w:val="20"/>
        </w:rPr>
      </w:pPr>
    </w:p>
    <w:p w14:paraId="34FEC9F7" w14:textId="30DD1602" w:rsidR="00925901" w:rsidRPr="00925901" w:rsidRDefault="00925901" w:rsidP="00925901">
      <w:pPr>
        <w:spacing w:after="0" w:line="240" w:lineRule="auto"/>
        <w:rPr>
          <w:sz w:val="20"/>
          <w:szCs w:val="20"/>
        </w:rPr>
      </w:pPr>
      <w:r w:rsidRPr="00925901">
        <w:rPr>
          <w:sz w:val="20"/>
          <w:szCs w:val="20"/>
        </w:rPr>
        <w:t>Descripción Tabla 2. Validez convergente del modelo de medición</w:t>
      </w:r>
      <w:r w:rsidR="00D4186A">
        <w:rPr>
          <w:sz w:val="20"/>
          <w:szCs w:val="20"/>
        </w:rPr>
        <w:t>.</w:t>
      </w:r>
    </w:p>
    <w:p w14:paraId="2D96D994" w14:textId="77777777" w:rsidR="00925901" w:rsidRDefault="00925901" w:rsidP="00925901">
      <w:pPr>
        <w:spacing w:after="0" w:line="240" w:lineRule="auto"/>
        <w:jc w:val="center"/>
        <w:rPr>
          <w:rFonts w:ascii="Oswald Regular" w:eastAsia="Oswald Regular" w:hAnsi="Oswald Regular" w:cs="Oswald Regular"/>
          <w:sz w:val="20"/>
          <w:szCs w:val="20"/>
        </w:rPr>
      </w:pPr>
    </w:p>
    <w:p w14:paraId="2917085F" w14:textId="6E3C5EEC" w:rsidR="00925901" w:rsidRDefault="00925901" w:rsidP="00925901">
      <w:pPr>
        <w:spacing w:after="0" w:line="240" w:lineRule="auto"/>
        <w:jc w:val="both"/>
        <w:rPr>
          <w:sz w:val="20"/>
          <w:szCs w:val="20"/>
        </w:rPr>
      </w:pPr>
      <w:r w:rsidRPr="00925901">
        <w:rPr>
          <w:sz w:val="20"/>
          <w:szCs w:val="20"/>
        </w:rPr>
        <w:t xml:space="preserve">Descripción. Mediante una tabla se presentan para cada uno de los constructos Información, lealtad, servicio, Tangibilidad y Trato del Trabajador, las cargas factoriales, el Alfa de Cronbach (a), la fiabilidad compuesta y la varianza media extraída (AVE). </w:t>
      </w:r>
    </w:p>
    <w:p w14:paraId="73A8EEEA" w14:textId="77777777" w:rsidR="00925901" w:rsidRPr="003930B2" w:rsidRDefault="00925901" w:rsidP="00925901">
      <w:pPr>
        <w:spacing w:after="0" w:line="240" w:lineRule="auto"/>
        <w:jc w:val="both"/>
        <w:rPr>
          <w:rFonts w:asciiTheme="minorHAnsi" w:hAnsiTheme="minorHAnsi" w:cstheme="minorHAnsi"/>
          <w:sz w:val="20"/>
          <w:szCs w:val="20"/>
        </w:rPr>
      </w:pPr>
    </w:p>
    <w:p w14:paraId="4A8F09A0" w14:textId="5FD95925" w:rsidR="00925901" w:rsidRDefault="00925901" w:rsidP="003930B2">
      <w:pPr>
        <w:pStyle w:val="Prrafodelista"/>
        <w:numPr>
          <w:ilvl w:val="0"/>
          <w:numId w:val="1"/>
        </w:numPr>
        <w:tabs>
          <w:tab w:val="left" w:pos="284"/>
        </w:tabs>
        <w:ind w:left="0" w:firstLine="0"/>
        <w:jc w:val="both"/>
        <w:rPr>
          <w:rFonts w:asciiTheme="minorHAnsi" w:hAnsiTheme="minorHAnsi" w:cstheme="minorHAnsi"/>
          <w:sz w:val="20"/>
          <w:szCs w:val="20"/>
        </w:rPr>
      </w:pPr>
      <w:r w:rsidRPr="003930B2">
        <w:rPr>
          <w:rFonts w:asciiTheme="minorHAnsi" w:hAnsiTheme="minorHAnsi" w:cstheme="minorHAnsi"/>
          <w:sz w:val="20"/>
          <w:szCs w:val="20"/>
        </w:rPr>
        <w:t>Constructo Información</w:t>
      </w:r>
      <w:r w:rsidR="00B15804">
        <w:rPr>
          <w:rFonts w:asciiTheme="minorHAnsi" w:hAnsiTheme="minorHAnsi" w:cstheme="minorHAnsi"/>
          <w:sz w:val="20"/>
          <w:szCs w:val="20"/>
        </w:rPr>
        <w:t>.</w:t>
      </w:r>
    </w:p>
    <w:p w14:paraId="448F4F6E" w14:textId="77777777" w:rsidR="003930B2" w:rsidRPr="003930B2" w:rsidRDefault="003930B2" w:rsidP="003930B2">
      <w:pPr>
        <w:pStyle w:val="Prrafodelista"/>
        <w:tabs>
          <w:tab w:val="left" w:pos="284"/>
        </w:tabs>
        <w:jc w:val="both"/>
        <w:rPr>
          <w:rFonts w:asciiTheme="minorHAnsi" w:hAnsiTheme="minorHAnsi" w:cstheme="minorHAnsi"/>
          <w:sz w:val="20"/>
          <w:szCs w:val="20"/>
        </w:rPr>
      </w:pPr>
    </w:p>
    <w:p w14:paraId="1F68A10D" w14:textId="77777777" w:rsidR="003930B2" w:rsidRDefault="00925901" w:rsidP="003930B2">
      <w:pPr>
        <w:tabs>
          <w:tab w:val="left" w:pos="284"/>
        </w:tabs>
        <w:spacing w:after="0" w:line="240" w:lineRule="auto"/>
        <w:jc w:val="both"/>
        <w:rPr>
          <w:rFonts w:asciiTheme="minorHAnsi" w:hAnsiTheme="minorHAnsi" w:cstheme="minorHAnsi"/>
          <w:sz w:val="20"/>
          <w:szCs w:val="20"/>
        </w:rPr>
      </w:pPr>
      <w:r w:rsidRPr="003930B2">
        <w:rPr>
          <w:rFonts w:asciiTheme="minorHAnsi" w:hAnsiTheme="minorHAnsi" w:cstheme="minorHAnsi"/>
          <w:sz w:val="20"/>
          <w:szCs w:val="20"/>
        </w:rPr>
        <w:t>Alfa de Cronbach (a) 0,705</w:t>
      </w:r>
    </w:p>
    <w:p w14:paraId="2718FEA5" w14:textId="2FDA8C98" w:rsidR="003930B2" w:rsidRDefault="00925901" w:rsidP="003930B2">
      <w:pPr>
        <w:tabs>
          <w:tab w:val="left" w:pos="284"/>
        </w:tabs>
        <w:spacing w:after="0" w:line="240" w:lineRule="auto"/>
        <w:jc w:val="both"/>
        <w:rPr>
          <w:rFonts w:asciiTheme="minorHAnsi" w:hAnsiTheme="minorHAnsi" w:cstheme="minorHAnsi"/>
          <w:sz w:val="20"/>
          <w:szCs w:val="20"/>
        </w:rPr>
      </w:pPr>
      <w:r w:rsidRPr="003930B2">
        <w:rPr>
          <w:rFonts w:asciiTheme="minorHAnsi" w:hAnsiTheme="minorHAnsi" w:cstheme="minorHAnsi"/>
          <w:sz w:val="20"/>
          <w:szCs w:val="20"/>
        </w:rPr>
        <w:t>Fiabilidad compuesta (CR) 0,836</w:t>
      </w:r>
    </w:p>
    <w:p w14:paraId="2A45B186" w14:textId="6E506D2C" w:rsidR="00925901" w:rsidRPr="003930B2" w:rsidRDefault="00925901" w:rsidP="003930B2">
      <w:pPr>
        <w:tabs>
          <w:tab w:val="left" w:pos="284"/>
        </w:tabs>
        <w:spacing w:after="0" w:line="240" w:lineRule="auto"/>
        <w:jc w:val="both"/>
        <w:rPr>
          <w:rFonts w:asciiTheme="minorHAnsi" w:hAnsiTheme="minorHAnsi" w:cstheme="minorHAnsi"/>
          <w:sz w:val="20"/>
          <w:szCs w:val="20"/>
        </w:rPr>
      </w:pPr>
      <w:r w:rsidRPr="003930B2">
        <w:rPr>
          <w:rFonts w:asciiTheme="minorHAnsi" w:hAnsiTheme="minorHAnsi" w:cstheme="minorHAnsi"/>
          <w:sz w:val="20"/>
          <w:szCs w:val="20"/>
        </w:rPr>
        <w:t>Varianza media extraída (AVE) 0,629</w:t>
      </w:r>
    </w:p>
    <w:p w14:paraId="7E04F481" w14:textId="53C0E608" w:rsidR="00925901" w:rsidRPr="003930B2" w:rsidRDefault="00925901" w:rsidP="003930B2">
      <w:pPr>
        <w:tabs>
          <w:tab w:val="left" w:pos="284"/>
        </w:tabs>
        <w:spacing w:after="0" w:line="240" w:lineRule="auto"/>
        <w:jc w:val="both"/>
        <w:rPr>
          <w:rFonts w:asciiTheme="minorHAnsi" w:hAnsiTheme="minorHAnsi" w:cstheme="minorHAnsi"/>
          <w:sz w:val="20"/>
          <w:szCs w:val="20"/>
        </w:rPr>
      </w:pPr>
    </w:p>
    <w:p w14:paraId="447080CE" w14:textId="4D1CF6F0" w:rsidR="00925901" w:rsidRPr="003930B2" w:rsidRDefault="00925901" w:rsidP="003930B2">
      <w:pPr>
        <w:pStyle w:val="Prrafodelista"/>
        <w:numPr>
          <w:ilvl w:val="0"/>
          <w:numId w:val="1"/>
        </w:numPr>
        <w:tabs>
          <w:tab w:val="left" w:pos="284"/>
        </w:tabs>
        <w:ind w:left="0" w:firstLine="0"/>
        <w:jc w:val="both"/>
        <w:rPr>
          <w:rFonts w:asciiTheme="minorHAnsi" w:hAnsiTheme="minorHAnsi" w:cstheme="minorHAnsi"/>
          <w:sz w:val="20"/>
          <w:szCs w:val="20"/>
        </w:rPr>
      </w:pPr>
      <w:r w:rsidRPr="003930B2">
        <w:rPr>
          <w:rFonts w:asciiTheme="minorHAnsi" w:hAnsiTheme="minorHAnsi" w:cstheme="minorHAnsi"/>
          <w:sz w:val="20"/>
          <w:szCs w:val="20"/>
        </w:rPr>
        <w:t xml:space="preserve">Constructo </w:t>
      </w:r>
      <w:r w:rsidR="00B15804">
        <w:rPr>
          <w:rFonts w:asciiTheme="minorHAnsi" w:hAnsiTheme="minorHAnsi" w:cstheme="minorHAnsi"/>
          <w:sz w:val="20"/>
          <w:szCs w:val="20"/>
        </w:rPr>
        <w:t>Lealtad.</w:t>
      </w:r>
    </w:p>
    <w:p w14:paraId="50700AED" w14:textId="77777777" w:rsidR="00925901" w:rsidRPr="003930B2" w:rsidRDefault="00925901" w:rsidP="003930B2">
      <w:pPr>
        <w:tabs>
          <w:tab w:val="left" w:pos="284"/>
        </w:tabs>
        <w:spacing w:after="0" w:line="240" w:lineRule="auto"/>
        <w:jc w:val="both"/>
        <w:rPr>
          <w:rFonts w:asciiTheme="minorHAnsi" w:hAnsiTheme="minorHAnsi" w:cstheme="minorHAnsi"/>
          <w:sz w:val="20"/>
          <w:szCs w:val="20"/>
        </w:rPr>
      </w:pPr>
    </w:p>
    <w:p w14:paraId="1E79158A" w14:textId="77777777" w:rsidR="003930B2" w:rsidRDefault="00925901" w:rsidP="003930B2">
      <w:pPr>
        <w:tabs>
          <w:tab w:val="left" w:pos="284"/>
        </w:tabs>
        <w:spacing w:after="0" w:line="240" w:lineRule="auto"/>
        <w:jc w:val="both"/>
        <w:rPr>
          <w:rFonts w:asciiTheme="minorHAnsi" w:hAnsiTheme="minorHAnsi" w:cstheme="minorHAnsi"/>
          <w:sz w:val="20"/>
          <w:szCs w:val="20"/>
        </w:rPr>
      </w:pPr>
      <w:r w:rsidRPr="003930B2">
        <w:rPr>
          <w:rFonts w:asciiTheme="minorHAnsi" w:hAnsiTheme="minorHAnsi" w:cstheme="minorHAnsi"/>
          <w:sz w:val="20"/>
          <w:szCs w:val="20"/>
        </w:rPr>
        <w:t>Alfa de Cronbach (a) 0,72</w:t>
      </w:r>
    </w:p>
    <w:p w14:paraId="268916B8" w14:textId="77777777" w:rsidR="003930B2" w:rsidRDefault="00925901" w:rsidP="003930B2">
      <w:pPr>
        <w:tabs>
          <w:tab w:val="left" w:pos="284"/>
        </w:tabs>
        <w:spacing w:after="0" w:line="240" w:lineRule="auto"/>
        <w:jc w:val="both"/>
        <w:rPr>
          <w:rFonts w:asciiTheme="minorHAnsi" w:hAnsiTheme="minorHAnsi" w:cstheme="minorHAnsi"/>
          <w:sz w:val="20"/>
          <w:szCs w:val="20"/>
        </w:rPr>
      </w:pPr>
      <w:r w:rsidRPr="003930B2">
        <w:rPr>
          <w:rFonts w:asciiTheme="minorHAnsi" w:hAnsiTheme="minorHAnsi" w:cstheme="minorHAnsi"/>
          <w:sz w:val="20"/>
          <w:szCs w:val="20"/>
        </w:rPr>
        <w:t>Fiabilidad compuesta (CR) 0,843</w:t>
      </w:r>
    </w:p>
    <w:p w14:paraId="58D29DB0" w14:textId="56EA2DD6" w:rsidR="00925901" w:rsidRPr="003930B2" w:rsidRDefault="00925901" w:rsidP="003930B2">
      <w:pPr>
        <w:tabs>
          <w:tab w:val="left" w:pos="284"/>
        </w:tabs>
        <w:spacing w:after="0" w:line="240" w:lineRule="auto"/>
        <w:jc w:val="both"/>
        <w:rPr>
          <w:rFonts w:asciiTheme="minorHAnsi" w:hAnsiTheme="minorHAnsi" w:cstheme="minorHAnsi"/>
          <w:sz w:val="20"/>
          <w:szCs w:val="20"/>
        </w:rPr>
      </w:pPr>
      <w:r w:rsidRPr="003930B2">
        <w:rPr>
          <w:rFonts w:asciiTheme="minorHAnsi" w:hAnsiTheme="minorHAnsi" w:cstheme="minorHAnsi"/>
          <w:sz w:val="20"/>
          <w:szCs w:val="20"/>
        </w:rPr>
        <w:t>Varianza media extraída (AVE) 0,641</w:t>
      </w:r>
    </w:p>
    <w:p w14:paraId="7C00B8E1" w14:textId="45E3E742" w:rsidR="00925901" w:rsidRPr="003930B2" w:rsidRDefault="00925901" w:rsidP="003930B2">
      <w:pPr>
        <w:tabs>
          <w:tab w:val="left" w:pos="284"/>
        </w:tabs>
        <w:spacing w:after="0" w:line="240" w:lineRule="auto"/>
        <w:jc w:val="both"/>
        <w:rPr>
          <w:rFonts w:asciiTheme="minorHAnsi" w:hAnsiTheme="minorHAnsi" w:cstheme="minorHAnsi"/>
          <w:sz w:val="20"/>
          <w:szCs w:val="20"/>
        </w:rPr>
      </w:pPr>
      <w:r w:rsidRPr="003930B2">
        <w:rPr>
          <w:rFonts w:asciiTheme="minorHAnsi" w:hAnsiTheme="minorHAnsi" w:cstheme="minorHAnsi"/>
          <w:sz w:val="20"/>
          <w:szCs w:val="20"/>
        </w:rPr>
        <w:tab/>
      </w:r>
      <w:r w:rsidRPr="003930B2">
        <w:rPr>
          <w:rFonts w:asciiTheme="minorHAnsi" w:hAnsiTheme="minorHAnsi" w:cstheme="minorHAnsi"/>
          <w:sz w:val="20"/>
          <w:szCs w:val="20"/>
        </w:rPr>
        <w:tab/>
      </w:r>
    </w:p>
    <w:p w14:paraId="42C1830E" w14:textId="320592E6" w:rsidR="00925901" w:rsidRPr="003930B2" w:rsidRDefault="00925901" w:rsidP="003930B2">
      <w:pPr>
        <w:pStyle w:val="Prrafodelista"/>
        <w:numPr>
          <w:ilvl w:val="0"/>
          <w:numId w:val="1"/>
        </w:numPr>
        <w:tabs>
          <w:tab w:val="left" w:pos="284"/>
        </w:tabs>
        <w:ind w:left="0" w:firstLine="0"/>
        <w:jc w:val="both"/>
        <w:rPr>
          <w:rFonts w:asciiTheme="minorHAnsi" w:hAnsiTheme="minorHAnsi" w:cstheme="minorHAnsi"/>
          <w:sz w:val="20"/>
          <w:szCs w:val="20"/>
        </w:rPr>
      </w:pPr>
      <w:r w:rsidRPr="003930B2">
        <w:rPr>
          <w:rFonts w:asciiTheme="minorHAnsi" w:hAnsiTheme="minorHAnsi" w:cstheme="minorHAnsi"/>
          <w:sz w:val="20"/>
          <w:szCs w:val="20"/>
        </w:rPr>
        <w:t xml:space="preserve">Constructo </w:t>
      </w:r>
      <w:r w:rsidR="00B15804">
        <w:rPr>
          <w:rFonts w:asciiTheme="minorHAnsi" w:hAnsiTheme="minorHAnsi" w:cstheme="minorHAnsi"/>
          <w:sz w:val="20"/>
          <w:szCs w:val="20"/>
        </w:rPr>
        <w:t>Servicio.</w:t>
      </w:r>
      <w:r w:rsidRPr="003930B2">
        <w:rPr>
          <w:rFonts w:asciiTheme="minorHAnsi" w:hAnsiTheme="minorHAnsi" w:cstheme="minorHAnsi"/>
          <w:sz w:val="20"/>
          <w:szCs w:val="20"/>
        </w:rPr>
        <w:tab/>
      </w:r>
    </w:p>
    <w:p w14:paraId="38FD1695" w14:textId="532BB75A" w:rsidR="00925901" w:rsidRPr="003930B2" w:rsidRDefault="00925901" w:rsidP="003930B2">
      <w:pPr>
        <w:tabs>
          <w:tab w:val="left" w:pos="284"/>
        </w:tabs>
        <w:spacing w:after="0" w:line="240" w:lineRule="auto"/>
        <w:jc w:val="both"/>
        <w:rPr>
          <w:rFonts w:asciiTheme="minorHAnsi" w:hAnsiTheme="minorHAnsi" w:cstheme="minorHAnsi"/>
          <w:sz w:val="20"/>
          <w:szCs w:val="20"/>
          <w:lang w:val="es-AR"/>
        </w:rPr>
      </w:pPr>
      <w:r w:rsidRPr="003930B2">
        <w:rPr>
          <w:rFonts w:asciiTheme="minorHAnsi" w:hAnsiTheme="minorHAnsi" w:cstheme="minorHAnsi"/>
          <w:sz w:val="20"/>
          <w:szCs w:val="20"/>
          <w:lang w:val="es-AR"/>
        </w:rPr>
        <w:tab/>
      </w:r>
      <w:r w:rsidRPr="003930B2">
        <w:rPr>
          <w:rFonts w:asciiTheme="minorHAnsi" w:hAnsiTheme="minorHAnsi" w:cstheme="minorHAnsi"/>
          <w:sz w:val="20"/>
          <w:szCs w:val="20"/>
          <w:lang w:val="es-AR"/>
        </w:rPr>
        <w:tab/>
      </w:r>
    </w:p>
    <w:p w14:paraId="70ED46D4" w14:textId="77777777" w:rsidR="003930B2" w:rsidRDefault="00925901" w:rsidP="003930B2">
      <w:pPr>
        <w:tabs>
          <w:tab w:val="left" w:pos="284"/>
        </w:tabs>
        <w:spacing w:after="0" w:line="240" w:lineRule="auto"/>
        <w:jc w:val="both"/>
        <w:rPr>
          <w:rFonts w:asciiTheme="minorHAnsi" w:hAnsiTheme="minorHAnsi" w:cstheme="minorHAnsi"/>
          <w:sz w:val="20"/>
          <w:szCs w:val="20"/>
        </w:rPr>
      </w:pPr>
      <w:r w:rsidRPr="003930B2">
        <w:rPr>
          <w:rFonts w:asciiTheme="minorHAnsi" w:hAnsiTheme="minorHAnsi" w:cstheme="minorHAnsi"/>
          <w:sz w:val="20"/>
          <w:szCs w:val="20"/>
        </w:rPr>
        <w:t>Alfa de Cronbach (a) 0,818</w:t>
      </w:r>
    </w:p>
    <w:p w14:paraId="4E246098" w14:textId="77777777" w:rsidR="003930B2" w:rsidRDefault="00925901" w:rsidP="003930B2">
      <w:pPr>
        <w:tabs>
          <w:tab w:val="left" w:pos="284"/>
        </w:tabs>
        <w:spacing w:after="0" w:line="240" w:lineRule="auto"/>
        <w:jc w:val="both"/>
        <w:rPr>
          <w:rFonts w:asciiTheme="minorHAnsi" w:hAnsiTheme="minorHAnsi" w:cstheme="minorHAnsi"/>
          <w:sz w:val="20"/>
          <w:szCs w:val="20"/>
        </w:rPr>
      </w:pPr>
      <w:r w:rsidRPr="003930B2">
        <w:rPr>
          <w:rFonts w:asciiTheme="minorHAnsi" w:hAnsiTheme="minorHAnsi" w:cstheme="minorHAnsi"/>
          <w:sz w:val="20"/>
          <w:szCs w:val="20"/>
        </w:rPr>
        <w:t>Fiabilidad compuesta (CR) 0,873</w:t>
      </w:r>
    </w:p>
    <w:p w14:paraId="28C4E25D" w14:textId="15A3B624" w:rsidR="00925901" w:rsidRPr="003930B2" w:rsidRDefault="00925901" w:rsidP="003930B2">
      <w:pPr>
        <w:tabs>
          <w:tab w:val="left" w:pos="284"/>
        </w:tabs>
        <w:spacing w:after="0" w:line="240" w:lineRule="auto"/>
        <w:jc w:val="both"/>
        <w:rPr>
          <w:rFonts w:asciiTheme="minorHAnsi" w:hAnsiTheme="minorHAnsi" w:cstheme="minorHAnsi"/>
          <w:sz w:val="20"/>
          <w:szCs w:val="20"/>
        </w:rPr>
      </w:pPr>
      <w:r w:rsidRPr="003930B2">
        <w:rPr>
          <w:rFonts w:asciiTheme="minorHAnsi" w:hAnsiTheme="minorHAnsi" w:cstheme="minorHAnsi"/>
          <w:sz w:val="20"/>
          <w:szCs w:val="20"/>
        </w:rPr>
        <w:lastRenderedPageBreak/>
        <w:t>Varianza media extraída (AVE) 0,578</w:t>
      </w:r>
    </w:p>
    <w:p w14:paraId="22F8403B" w14:textId="77777777" w:rsidR="00925901" w:rsidRPr="003930B2" w:rsidRDefault="00925901" w:rsidP="003930B2">
      <w:pPr>
        <w:tabs>
          <w:tab w:val="left" w:pos="284"/>
        </w:tabs>
        <w:spacing w:after="0" w:line="240" w:lineRule="auto"/>
        <w:jc w:val="both"/>
        <w:rPr>
          <w:rFonts w:asciiTheme="minorHAnsi" w:hAnsiTheme="minorHAnsi" w:cstheme="minorHAnsi"/>
          <w:sz w:val="20"/>
          <w:szCs w:val="20"/>
        </w:rPr>
      </w:pPr>
    </w:p>
    <w:p w14:paraId="6058261F" w14:textId="1AE143DE" w:rsidR="00925901" w:rsidRPr="003930B2" w:rsidRDefault="00925901" w:rsidP="003930B2">
      <w:pPr>
        <w:pStyle w:val="Prrafodelista"/>
        <w:numPr>
          <w:ilvl w:val="0"/>
          <w:numId w:val="1"/>
        </w:numPr>
        <w:tabs>
          <w:tab w:val="left" w:pos="284"/>
        </w:tabs>
        <w:ind w:left="0" w:firstLine="0"/>
        <w:jc w:val="both"/>
        <w:rPr>
          <w:rFonts w:asciiTheme="minorHAnsi" w:hAnsiTheme="minorHAnsi" w:cstheme="minorHAnsi"/>
          <w:sz w:val="20"/>
          <w:szCs w:val="20"/>
        </w:rPr>
      </w:pPr>
      <w:r w:rsidRPr="003930B2">
        <w:rPr>
          <w:rFonts w:asciiTheme="minorHAnsi" w:hAnsiTheme="minorHAnsi" w:cstheme="minorHAnsi"/>
          <w:sz w:val="20"/>
          <w:szCs w:val="20"/>
        </w:rPr>
        <w:t>Constructo Tangibilidad</w:t>
      </w:r>
      <w:r w:rsidR="00B15804">
        <w:rPr>
          <w:rFonts w:asciiTheme="minorHAnsi" w:hAnsiTheme="minorHAnsi" w:cstheme="minorHAnsi"/>
          <w:sz w:val="20"/>
          <w:szCs w:val="20"/>
        </w:rPr>
        <w:t>.</w:t>
      </w:r>
      <w:r w:rsidRPr="003930B2">
        <w:rPr>
          <w:rFonts w:asciiTheme="minorHAnsi" w:hAnsiTheme="minorHAnsi" w:cstheme="minorHAnsi"/>
          <w:sz w:val="20"/>
          <w:szCs w:val="20"/>
        </w:rPr>
        <w:tab/>
      </w:r>
    </w:p>
    <w:p w14:paraId="2018E720" w14:textId="4F25D282" w:rsidR="00925901" w:rsidRPr="003930B2" w:rsidRDefault="00925901" w:rsidP="003930B2">
      <w:pPr>
        <w:tabs>
          <w:tab w:val="left" w:pos="284"/>
        </w:tabs>
        <w:spacing w:after="0" w:line="240" w:lineRule="auto"/>
        <w:jc w:val="both"/>
        <w:rPr>
          <w:rFonts w:asciiTheme="minorHAnsi" w:hAnsiTheme="minorHAnsi" w:cstheme="minorHAnsi"/>
          <w:sz w:val="20"/>
          <w:szCs w:val="20"/>
        </w:rPr>
      </w:pPr>
      <w:r w:rsidRPr="003930B2">
        <w:rPr>
          <w:rFonts w:asciiTheme="minorHAnsi" w:hAnsiTheme="minorHAnsi" w:cstheme="minorHAnsi"/>
          <w:sz w:val="20"/>
          <w:szCs w:val="20"/>
        </w:rPr>
        <w:tab/>
      </w:r>
      <w:r w:rsidRPr="003930B2">
        <w:rPr>
          <w:rFonts w:asciiTheme="minorHAnsi" w:hAnsiTheme="minorHAnsi" w:cstheme="minorHAnsi"/>
          <w:sz w:val="20"/>
          <w:szCs w:val="20"/>
        </w:rPr>
        <w:tab/>
      </w:r>
      <w:r w:rsidRPr="003930B2">
        <w:rPr>
          <w:rFonts w:asciiTheme="minorHAnsi" w:hAnsiTheme="minorHAnsi" w:cstheme="minorHAnsi"/>
          <w:sz w:val="20"/>
          <w:szCs w:val="20"/>
        </w:rPr>
        <w:tab/>
      </w:r>
    </w:p>
    <w:p w14:paraId="48E70C52" w14:textId="77777777" w:rsidR="003930B2" w:rsidRDefault="00925901" w:rsidP="003930B2">
      <w:pPr>
        <w:tabs>
          <w:tab w:val="left" w:pos="284"/>
        </w:tabs>
        <w:spacing w:after="0" w:line="240" w:lineRule="auto"/>
        <w:jc w:val="both"/>
        <w:rPr>
          <w:rFonts w:asciiTheme="minorHAnsi" w:hAnsiTheme="minorHAnsi" w:cstheme="minorHAnsi"/>
          <w:sz w:val="20"/>
          <w:szCs w:val="20"/>
        </w:rPr>
      </w:pPr>
      <w:r w:rsidRPr="003930B2">
        <w:rPr>
          <w:rFonts w:asciiTheme="minorHAnsi" w:hAnsiTheme="minorHAnsi" w:cstheme="minorHAnsi"/>
          <w:sz w:val="20"/>
          <w:szCs w:val="20"/>
        </w:rPr>
        <w:t>Alfa de Cronbach (a) 0,704</w:t>
      </w:r>
    </w:p>
    <w:p w14:paraId="58D4CF43" w14:textId="18B84D38" w:rsidR="003930B2" w:rsidRDefault="00925901" w:rsidP="003930B2">
      <w:pPr>
        <w:tabs>
          <w:tab w:val="left" w:pos="284"/>
        </w:tabs>
        <w:spacing w:after="0" w:line="240" w:lineRule="auto"/>
        <w:jc w:val="both"/>
        <w:rPr>
          <w:rFonts w:asciiTheme="minorHAnsi" w:hAnsiTheme="minorHAnsi" w:cstheme="minorHAnsi"/>
          <w:sz w:val="20"/>
          <w:szCs w:val="20"/>
        </w:rPr>
      </w:pPr>
      <w:r w:rsidRPr="003930B2">
        <w:rPr>
          <w:rFonts w:asciiTheme="minorHAnsi" w:hAnsiTheme="minorHAnsi" w:cstheme="minorHAnsi"/>
          <w:sz w:val="20"/>
          <w:szCs w:val="20"/>
        </w:rPr>
        <w:t>Fiabilidad compuesta (CR) 0,856</w:t>
      </w:r>
    </w:p>
    <w:p w14:paraId="67145A97" w14:textId="274838D0" w:rsidR="00925901" w:rsidRPr="003930B2" w:rsidRDefault="00925901" w:rsidP="003930B2">
      <w:pPr>
        <w:tabs>
          <w:tab w:val="left" w:pos="284"/>
        </w:tabs>
        <w:spacing w:after="0" w:line="240" w:lineRule="auto"/>
        <w:jc w:val="both"/>
        <w:rPr>
          <w:rFonts w:asciiTheme="minorHAnsi" w:hAnsiTheme="minorHAnsi" w:cstheme="minorHAnsi"/>
          <w:sz w:val="20"/>
          <w:szCs w:val="20"/>
        </w:rPr>
      </w:pPr>
      <w:r w:rsidRPr="003930B2">
        <w:rPr>
          <w:rFonts w:asciiTheme="minorHAnsi" w:hAnsiTheme="minorHAnsi" w:cstheme="minorHAnsi"/>
          <w:sz w:val="20"/>
          <w:szCs w:val="20"/>
        </w:rPr>
        <w:t>Varianza media extraída (AVE) 0,748</w:t>
      </w:r>
    </w:p>
    <w:p w14:paraId="242CD5D7" w14:textId="77777777" w:rsidR="00925901" w:rsidRPr="003930B2" w:rsidRDefault="00925901" w:rsidP="003930B2">
      <w:pPr>
        <w:tabs>
          <w:tab w:val="left" w:pos="284"/>
        </w:tabs>
        <w:spacing w:after="0" w:line="240" w:lineRule="auto"/>
        <w:jc w:val="both"/>
        <w:rPr>
          <w:rFonts w:asciiTheme="minorHAnsi" w:hAnsiTheme="minorHAnsi" w:cstheme="minorHAnsi"/>
          <w:sz w:val="20"/>
          <w:szCs w:val="20"/>
        </w:rPr>
      </w:pPr>
    </w:p>
    <w:p w14:paraId="766767A0" w14:textId="4EF56BF9" w:rsidR="00925901" w:rsidRPr="003930B2" w:rsidRDefault="00925901" w:rsidP="003930B2">
      <w:pPr>
        <w:pStyle w:val="Prrafodelista"/>
        <w:numPr>
          <w:ilvl w:val="0"/>
          <w:numId w:val="1"/>
        </w:numPr>
        <w:tabs>
          <w:tab w:val="left" w:pos="284"/>
        </w:tabs>
        <w:ind w:left="0" w:firstLine="0"/>
        <w:jc w:val="both"/>
        <w:rPr>
          <w:rFonts w:asciiTheme="minorHAnsi" w:hAnsiTheme="minorHAnsi" w:cstheme="minorHAnsi"/>
          <w:sz w:val="20"/>
          <w:szCs w:val="20"/>
        </w:rPr>
      </w:pPr>
      <w:r w:rsidRPr="003930B2">
        <w:rPr>
          <w:rFonts w:asciiTheme="minorHAnsi" w:hAnsiTheme="minorHAnsi" w:cstheme="minorHAnsi"/>
          <w:sz w:val="20"/>
          <w:szCs w:val="20"/>
        </w:rPr>
        <w:t>Constructo Trato del trabajador</w:t>
      </w:r>
      <w:r w:rsidR="00B15804">
        <w:rPr>
          <w:rFonts w:asciiTheme="minorHAnsi" w:hAnsiTheme="minorHAnsi" w:cstheme="minorHAnsi"/>
          <w:sz w:val="20"/>
          <w:szCs w:val="20"/>
        </w:rPr>
        <w:t>.</w:t>
      </w:r>
      <w:r w:rsidRPr="003930B2">
        <w:rPr>
          <w:rFonts w:asciiTheme="minorHAnsi" w:hAnsiTheme="minorHAnsi" w:cstheme="minorHAnsi"/>
          <w:sz w:val="20"/>
          <w:szCs w:val="20"/>
        </w:rPr>
        <w:tab/>
      </w:r>
    </w:p>
    <w:p w14:paraId="32E26F02" w14:textId="02029706" w:rsidR="00925901" w:rsidRPr="003930B2" w:rsidRDefault="00925901" w:rsidP="003930B2">
      <w:pPr>
        <w:tabs>
          <w:tab w:val="left" w:pos="284"/>
        </w:tabs>
        <w:spacing w:after="0" w:line="240" w:lineRule="auto"/>
        <w:jc w:val="both"/>
        <w:rPr>
          <w:rFonts w:asciiTheme="minorHAnsi" w:hAnsiTheme="minorHAnsi" w:cstheme="minorHAnsi"/>
          <w:sz w:val="20"/>
          <w:szCs w:val="20"/>
        </w:rPr>
      </w:pPr>
      <w:r w:rsidRPr="003930B2">
        <w:rPr>
          <w:rFonts w:asciiTheme="minorHAnsi" w:hAnsiTheme="minorHAnsi" w:cstheme="minorHAnsi"/>
          <w:sz w:val="20"/>
          <w:szCs w:val="20"/>
        </w:rPr>
        <w:tab/>
      </w:r>
    </w:p>
    <w:p w14:paraId="71772606" w14:textId="77777777" w:rsidR="003930B2" w:rsidRDefault="00925901" w:rsidP="003930B2">
      <w:pPr>
        <w:tabs>
          <w:tab w:val="left" w:pos="284"/>
        </w:tabs>
        <w:spacing w:after="0" w:line="240" w:lineRule="auto"/>
        <w:jc w:val="both"/>
        <w:rPr>
          <w:rFonts w:asciiTheme="minorHAnsi" w:hAnsiTheme="minorHAnsi" w:cstheme="minorHAnsi"/>
          <w:sz w:val="20"/>
          <w:szCs w:val="20"/>
        </w:rPr>
      </w:pPr>
      <w:r w:rsidRPr="003930B2">
        <w:rPr>
          <w:rFonts w:asciiTheme="minorHAnsi" w:hAnsiTheme="minorHAnsi" w:cstheme="minorHAnsi"/>
          <w:sz w:val="20"/>
          <w:szCs w:val="20"/>
        </w:rPr>
        <w:t>Alfa de Cronbach (a) 0,776</w:t>
      </w:r>
    </w:p>
    <w:p w14:paraId="683A8C44" w14:textId="77777777" w:rsidR="003930B2" w:rsidRDefault="00925901" w:rsidP="003930B2">
      <w:pPr>
        <w:tabs>
          <w:tab w:val="left" w:pos="284"/>
        </w:tabs>
        <w:spacing w:after="0" w:line="240" w:lineRule="auto"/>
        <w:jc w:val="both"/>
        <w:rPr>
          <w:rFonts w:asciiTheme="minorHAnsi" w:hAnsiTheme="minorHAnsi" w:cstheme="minorHAnsi"/>
          <w:sz w:val="20"/>
          <w:szCs w:val="20"/>
        </w:rPr>
      </w:pPr>
      <w:r w:rsidRPr="003930B2">
        <w:rPr>
          <w:rFonts w:asciiTheme="minorHAnsi" w:hAnsiTheme="minorHAnsi" w:cstheme="minorHAnsi"/>
          <w:sz w:val="20"/>
          <w:szCs w:val="20"/>
        </w:rPr>
        <w:t>Fiabilidad compuesta (CR) 0,856</w:t>
      </w:r>
    </w:p>
    <w:p w14:paraId="590BFC64" w14:textId="63C897B7" w:rsidR="002316EB" w:rsidRPr="003930B2" w:rsidRDefault="00925901" w:rsidP="003930B2">
      <w:pPr>
        <w:tabs>
          <w:tab w:val="left" w:pos="284"/>
        </w:tabs>
        <w:spacing w:after="0" w:line="240" w:lineRule="auto"/>
        <w:jc w:val="both"/>
        <w:rPr>
          <w:rFonts w:asciiTheme="minorHAnsi" w:hAnsiTheme="minorHAnsi" w:cstheme="minorHAnsi"/>
          <w:sz w:val="20"/>
          <w:szCs w:val="20"/>
        </w:rPr>
      </w:pPr>
      <w:r w:rsidRPr="003930B2">
        <w:rPr>
          <w:rFonts w:asciiTheme="minorHAnsi" w:hAnsiTheme="minorHAnsi" w:cstheme="minorHAnsi"/>
          <w:sz w:val="20"/>
          <w:szCs w:val="20"/>
        </w:rPr>
        <w:t>Varianza media extraída (AVE) 0,599</w:t>
      </w:r>
      <w:r w:rsidR="003930B2" w:rsidRPr="003930B2">
        <w:rPr>
          <w:rFonts w:asciiTheme="minorHAnsi" w:hAnsiTheme="minorHAnsi" w:cstheme="minorHAnsi"/>
          <w:sz w:val="20"/>
          <w:szCs w:val="20"/>
        </w:rPr>
        <w:t xml:space="preserve">. </w:t>
      </w:r>
      <w:r w:rsidRPr="003930B2">
        <w:rPr>
          <w:rFonts w:asciiTheme="minorHAnsi" w:hAnsiTheme="minorHAnsi" w:cstheme="minorHAnsi"/>
          <w:sz w:val="20"/>
          <w:szCs w:val="20"/>
        </w:rPr>
        <w:t>Elaboración propia según Smart PLS. Fin de Descripción Tabla 2. Vuelva al texto.</w:t>
      </w:r>
    </w:p>
    <w:p w14:paraId="364CCE2E" w14:textId="77777777" w:rsidR="00925901" w:rsidRDefault="00925901" w:rsidP="0089552B">
      <w:pPr>
        <w:spacing w:after="0" w:line="240" w:lineRule="auto"/>
        <w:rPr>
          <w:sz w:val="20"/>
          <w:szCs w:val="20"/>
        </w:rPr>
      </w:pPr>
    </w:p>
    <w:p w14:paraId="3BDE6BFC" w14:textId="7B01CAE9" w:rsidR="002316EB" w:rsidRPr="003451F6" w:rsidRDefault="00FA373F" w:rsidP="0089552B">
      <w:pPr>
        <w:spacing w:after="0" w:line="240" w:lineRule="auto"/>
        <w:rPr>
          <w:b/>
          <w:sz w:val="20"/>
          <w:szCs w:val="20"/>
        </w:rPr>
      </w:pPr>
      <w:r w:rsidRPr="003451F6">
        <w:rPr>
          <w:b/>
          <w:sz w:val="20"/>
          <w:szCs w:val="20"/>
        </w:rPr>
        <w:t>Validez discriminante</w:t>
      </w:r>
      <w:r w:rsidR="003451F6">
        <w:rPr>
          <w:b/>
          <w:sz w:val="20"/>
          <w:szCs w:val="20"/>
        </w:rPr>
        <w:t>.</w:t>
      </w:r>
    </w:p>
    <w:p w14:paraId="5EE16C5A" w14:textId="77777777" w:rsidR="002316EB" w:rsidRDefault="002316EB" w:rsidP="0089552B">
      <w:pPr>
        <w:spacing w:after="0" w:line="240" w:lineRule="auto"/>
        <w:rPr>
          <w:b/>
          <w:i/>
          <w:sz w:val="20"/>
          <w:szCs w:val="20"/>
        </w:rPr>
      </w:pPr>
    </w:p>
    <w:p w14:paraId="09068F51" w14:textId="77777777" w:rsidR="002316EB" w:rsidRDefault="00FA373F" w:rsidP="0089552B">
      <w:pPr>
        <w:widowControl w:val="0"/>
        <w:pBdr>
          <w:top w:val="nil"/>
          <w:left w:val="nil"/>
          <w:bottom w:val="nil"/>
          <w:right w:val="nil"/>
          <w:between w:val="nil"/>
        </w:pBdr>
        <w:spacing w:after="0" w:line="240" w:lineRule="auto"/>
        <w:jc w:val="both"/>
        <w:rPr>
          <w:color w:val="000000"/>
          <w:sz w:val="20"/>
          <w:szCs w:val="20"/>
        </w:rPr>
      </w:pPr>
      <w:r>
        <w:rPr>
          <w:color w:val="000000"/>
          <w:sz w:val="20"/>
          <w:szCs w:val="20"/>
        </w:rPr>
        <w:t xml:space="preserve">La validez discriminante es el grado en que los elementos difieren entre constructos; dicho de otro modo, indica en qué medida un constructo determinado es diferente de otros constructos (Martínez Ávila y Fierro Moreno, 2018). La Tabla 3 muestra la raíz cuadrada de la varianza media extraída en negrita que está en las diagonales; este valor fue mayor que los valores de cada fila y cada columna correspondientes. </w:t>
      </w:r>
    </w:p>
    <w:p w14:paraId="5BB4C900" w14:textId="77939DAB" w:rsidR="002316EB" w:rsidRDefault="002316EB" w:rsidP="0089552B">
      <w:pPr>
        <w:widowControl w:val="0"/>
        <w:pBdr>
          <w:top w:val="nil"/>
          <w:left w:val="nil"/>
          <w:bottom w:val="nil"/>
          <w:right w:val="nil"/>
          <w:between w:val="nil"/>
        </w:pBdr>
        <w:spacing w:after="0" w:line="240" w:lineRule="auto"/>
        <w:jc w:val="both"/>
        <w:rPr>
          <w:color w:val="595959"/>
          <w:sz w:val="20"/>
          <w:szCs w:val="20"/>
        </w:rPr>
      </w:pPr>
    </w:p>
    <w:p w14:paraId="7514946A" w14:textId="77777777" w:rsidR="0089552B" w:rsidRDefault="0089552B" w:rsidP="0089552B">
      <w:pPr>
        <w:widowControl w:val="0"/>
        <w:pBdr>
          <w:top w:val="nil"/>
          <w:left w:val="nil"/>
          <w:bottom w:val="nil"/>
          <w:right w:val="nil"/>
          <w:between w:val="nil"/>
        </w:pBdr>
        <w:spacing w:after="0" w:line="240" w:lineRule="auto"/>
        <w:jc w:val="both"/>
        <w:rPr>
          <w:color w:val="595959"/>
          <w:sz w:val="20"/>
          <w:szCs w:val="20"/>
        </w:rPr>
      </w:pPr>
    </w:p>
    <w:p w14:paraId="418FF624" w14:textId="77777777" w:rsidR="002316EB" w:rsidRDefault="00FA373F" w:rsidP="0089552B">
      <w:pPr>
        <w:widowControl w:val="0"/>
        <w:pBdr>
          <w:top w:val="nil"/>
          <w:left w:val="nil"/>
          <w:bottom w:val="nil"/>
          <w:right w:val="nil"/>
          <w:between w:val="nil"/>
        </w:pBdr>
        <w:spacing w:after="0" w:line="240" w:lineRule="auto"/>
        <w:jc w:val="center"/>
        <w:rPr>
          <w:b/>
          <w:color w:val="000000"/>
          <w:sz w:val="20"/>
          <w:szCs w:val="20"/>
        </w:rPr>
      </w:pPr>
      <w:r>
        <w:rPr>
          <w:b/>
          <w:color w:val="000000"/>
          <w:sz w:val="20"/>
          <w:szCs w:val="20"/>
        </w:rPr>
        <w:t>Tabla 3</w:t>
      </w:r>
    </w:p>
    <w:p w14:paraId="4AE2A78E" w14:textId="77777777" w:rsidR="002316EB" w:rsidRDefault="00FA373F" w:rsidP="0089552B">
      <w:pPr>
        <w:widowControl w:val="0"/>
        <w:pBdr>
          <w:top w:val="nil"/>
          <w:left w:val="nil"/>
          <w:bottom w:val="nil"/>
          <w:right w:val="nil"/>
          <w:between w:val="nil"/>
        </w:pBdr>
        <w:spacing w:after="0" w:line="240" w:lineRule="auto"/>
        <w:jc w:val="center"/>
        <w:rPr>
          <w:i/>
          <w:color w:val="000000"/>
          <w:sz w:val="20"/>
          <w:szCs w:val="20"/>
        </w:rPr>
      </w:pPr>
      <w:r>
        <w:rPr>
          <w:i/>
          <w:color w:val="000000"/>
          <w:sz w:val="20"/>
          <w:szCs w:val="20"/>
        </w:rPr>
        <w:t>Validez discriminante del modelo de medición</w:t>
      </w:r>
    </w:p>
    <w:p w14:paraId="7442E2AD" w14:textId="77777777" w:rsidR="002316EB" w:rsidRDefault="002316EB" w:rsidP="0089552B">
      <w:pPr>
        <w:widowControl w:val="0"/>
        <w:pBdr>
          <w:top w:val="nil"/>
          <w:left w:val="nil"/>
          <w:bottom w:val="nil"/>
          <w:right w:val="nil"/>
          <w:between w:val="nil"/>
        </w:pBdr>
        <w:spacing w:after="0" w:line="240" w:lineRule="auto"/>
        <w:jc w:val="both"/>
        <w:rPr>
          <w:color w:val="000000"/>
          <w:sz w:val="20"/>
          <w:szCs w:val="20"/>
        </w:rPr>
      </w:pPr>
    </w:p>
    <w:p w14:paraId="680A6EE1" w14:textId="5F029AB6" w:rsidR="002316EB" w:rsidRPr="0089552B" w:rsidRDefault="00FA373F" w:rsidP="0089552B">
      <w:pPr>
        <w:spacing w:after="0" w:line="240" w:lineRule="auto"/>
        <w:jc w:val="center"/>
        <w:rPr>
          <w:sz w:val="16"/>
          <w:szCs w:val="16"/>
        </w:rPr>
      </w:pPr>
      <w:r>
        <w:rPr>
          <w:noProof/>
          <w:lang w:val="es-AR" w:eastAsia="es-AR"/>
        </w:rPr>
        <w:drawing>
          <wp:inline distT="0" distB="0" distL="0" distR="0" wp14:anchorId="01F61196" wp14:editId="580D5652">
            <wp:extent cx="5588000" cy="1320800"/>
            <wp:effectExtent l="0" t="0" r="0" b="0"/>
            <wp:docPr id="1" name="Imagen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2E7E9AD9-6947-2D40-B710-5F44321455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2E7E9AD9-6947-2D40-B710-5F44321455EE}"/>
                        </a:ext>
                      </a:extLst>
                    </pic:cNvPr>
                    <pic:cNvPicPr>
                      <a:picLocks noChangeAspect="1"/>
                    </pic:cNvPicPr>
                  </pic:nvPicPr>
                  <pic:blipFill>
                    <a:blip r:embed="rId18"/>
                    <a:stretch>
                      <a:fillRect/>
                    </a:stretch>
                  </pic:blipFill>
                  <pic:spPr>
                    <a:xfrm>
                      <a:off x="0" y="0"/>
                      <a:ext cx="5588000" cy="1320800"/>
                    </a:xfrm>
                    <a:prstGeom prst="rect">
                      <a:avLst/>
                    </a:prstGeom>
                  </pic:spPr>
                </pic:pic>
              </a:graphicData>
            </a:graphic>
          </wp:inline>
        </w:drawing>
      </w:r>
      <w:r w:rsidRPr="0089552B">
        <w:rPr>
          <w:i/>
          <w:sz w:val="16"/>
          <w:szCs w:val="16"/>
        </w:rPr>
        <w:t>Nota</w:t>
      </w:r>
      <w:r w:rsidRPr="0089552B">
        <w:rPr>
          <w:sz w:val="16"/>
          <w:szCs w:val="16"/>
        </w:rPr>
        <w:t>. Elaboración propia según Smart PLS</w:t>
      </w:r>
    </w:p>
    <w:p w14:paraId="14E763E2" w14:textId="77777777" w:rsidR="00B15804" w:rsidRDefault="00B15804" w:rsidP="00B15804">
      <w:pPr>
        <w:spacing w:after="0" w:line="240" w:lineRule="auto"/>
        <w:rPr>
          <w:sz w:val="20"/>
          <w:szCs w:val="20"/>
        </w:rPr>
      </w:pPr>
    </w:p>
    <w:p w14:paraId="734CAE03" w14:textId="2CA20971" w:rsidR="002316EB" w:rsidRPr="00B24AF4" w:rsidRDefault="00B15804" w:rsidP="00B24AF4">
      <w:pPr>
        <w:widowControl w:val="0"/>
        <w:pBdr>
          <w:top w:val="nil"/>
          <w:left w:val="nil"/>
          <w:bottom w:val="nil"/>
          <w:right w:val="nil"/>
          <w:between w:val="nil"/>
        </w:pBdr>
        <w:spacing w:after="0" w:line="240" w:lineRule="auto"/>
        <w:jc w:val="both"/>
        <w:rPr>
          <w:color w:val="000000"/>
          <w:sz w:val="20"/>
          <w:szCs w:val="20"/>
        </w:rPr>
      </w:pPr>
      <w:r w:rsidRPr="00B24AF4">
        <w:rPr>
          <w:color w:val="000000"/>
          <w:sz w:val="20"/>
          <w:szCs w:val="20"/>
        </w:rPr>
        <w:t xml:space="preserve">Descripción Tabla 3. </w:t>
      </w:r>
      <w:r w:rsidRPr="00B15804">
        <w:rPr>
          <w:color w:val="000000"/>
          <w:sz w:val="20"/>
          <w:szCs w:val="20"/>
        </w:rPr>
        <w:t>Validez discriminante del modelo de medición</w:t>
      </w:r>
      <w:r w:rsidR="00D4186A">
        <w:rPr>
          <w:color w:val="000000"/>
          <w:sz w:val="20"/>
          <w:szCs w:val="20"/>
        </w:rPr>
        <w:t>.</w:t>
      </w:r>
    </w:p>
    <w:p w14:paraId="387F6616" w14:textId="77777777" w:rsidR="00B24AF4" w:rsidRPr="00B24AF4" w:rsidRDefault="00B24AF4" w:rsidP="00B24AF4">
      <w:pPr>
        <w:widowControl w:val="0"/>
        <w:pBdr>
          <w:top w:val="nil"/>
          <w:left w:val="nil"/>
          <w:bottom w:val="nil"/>
          <w:right w:val="nil"/>
          <w:between w:val="nil"/>
        </w:pBdr>
        <w:spacing w:after="0" w:line="240" w:lineRule="auto"/>
        <w:jc w:val="both"/>
        <w:rPr>
          <w:color w:val="000000"/>
          <w:sz w:val="20"/>
          <w:szCs w:val="20"/>
        </w:rPr>
      </w:pPr>
    </w:p>
    <w:p w14:paraId="2FABDD55" w14:textId="783CCF73" w:rsidR="00B15804" w:rsidRDefault="00B15804" w:rsidP="00B24AF4">
      <w:pPr>
        <w:widowControl w:val="0"/>
        <w:pBdr>
          <w:top w:val="nil"/>
          <w:left w:val="nil"/>
          <w:bottom w:val="nil"/>
          <w:right w:val="nil"/>
          <w:between w:val="nil"/>
        </w:pBdr>
        <w:spacing w:after="0" w:line="240" w:lineRule="auto"/>
        <w:jc w:val="both"/>
        <w:rPr>
          <w:color w:val="000000"/>
          <w:sz w:val="20"/>
          <w:szCs w:val="20"/>
        </w:rPr>
      </w:pPr>
      <w:r w:rsidRPr="00B24AF4">
        <w:rPr>
          <w:color w:val="000000"/>
          <w:sz w:val="20"/>
          <w:szCs w:val="20"/>
        </w:rPr>
        <w:t>Descripción. A continuación un cuadro de doble entrada, de seis columnas y seis filas, en donde se ponen en relación diversos conceptos, siendo en la primera fila: Constructo, información, Lealtad, Servicios, Tangibilidad y Trato. La primera columna contiene los distintos Constructos: información,  Lealtad, Servicios, Tangibilidad y Trato.</w:t>
      </w:r>
    </w:p>
    <w:p w14:paraId="3A98189A" w14:textId="77777777" w:rsidR="00B24AF4" w:rsidRPr="00B24AF4" w:rsidRDefault="00B24AF4" w:rsidP="00B24AF4">
      <w:pPr>
        <w:widowControl w:val="0"/>
        <w:pBdr>
          <w:top w:val="nil"/>
          <w:left w:val="nil"/>
          <w:bottom w:val="nil"/>
          <w:right w:val="nil"/>
          <w:between w:val="nil"/>
        </w:pBdr>
        <w:spacing w:after="0" w:line="240" w:lineRule="auto"/>
        <w:jc w:val="both"/>
        <w:rPr>
          <w:color w:val="000000"/>
          <w:sz w:val="20"/>
          <w:szCs w:val="20"/>
        </w:rPr>
      </w:pPr>
    </w:p>
    <w:p w14:paraId="6F56CAE3" w14:textId="77777777" w:rsidR="00B15804" w:rsidRPr="00B24AF4" w:rsidRDefault="00B15804"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B24AF4">
        <w:rPr>
          <w:rFonts w:asciiTheme="minorHAnsi" w:hAnsiTheme="minorHAnsi" w:cstheme="minorHAnsi"/>
          <w:color w:val="000000"/>
          <w:sz w:val="20"/>
          <w:szCs w:val="20"/>
        </w:rPr>
        <w:t>Las celdas de la primera fila y primera columna contienen los conceptos a relacionar.</w:t>
      </w:r>
    </w:p>
    <w:p w14:paraId="77F4923A" w14:textId="77777777" w:rsidR="00B24AF4" w:rsidRPr="00B24AF4" w:rsidRDefault="00B24AF4"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p>
    <w:p w14:paraId="097FD63F" w14:textId="537D274D" w:rsidR="00B15804" w:rsidRPr="00B24AF4" w:rsidRDefault="00B15804" w:rsidP="00B24AF4">
      <w:pPr>
        <w:pStyle w:val="Prrafodelista"/>
        <w:numPr>
          <w:ilvl w:val="0"/>
          <w:numId w:val="4"/>
        </w:numPr>
        <w:pBdr>
          <w:top w:val="nil"/>
          <w:left w:val="nil"/>
          <w:bottom w:val="nil"/>
          <w:right w:val="nil"/>
          <w:between w:val="nil"/>
        </w:pBdr>
        <w:jc w:val="both"/>
        <w:rPr>
          <w:rFonts w:asciiTheme="minorHAnsi" w:hAnsiTheme="minorHAnsi" w:cstheme="minorHAnsi"/>
          <w:color w:val="000000"/>
          <w:sz w:val="20"/>
          <w:szCs w:val="20"/>
        </w:rPr>
      </w:pPr>
      <w:r w:rsidRPr="00B24AF4">
        <w:rPr>
          <w:rFonts w:asciiTheme="minorHAnsi" w:hAnsiTheme="minorHAnsi" w:cstheme="minorHAnsi"/>
          <w:color w:val="000000"/>
          <w:sz w:val="20"/>
          <w:szCs w:val="20"/>
        </w:rPr>
        <w:t>Constructo Información</w:t>
      </w:r>
    </w:p>
    <w:p w14:paraId="7A127959" w14:textId="77777777" w:rsidR="001359D1" w:rsidRPr="00B24AF4" w:rsidRDefault="001359D1"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p>
    <w:p w14:paraId="658819B0" w14:textId="4589F47E" w:rsidR="00B15804" w:rsidRPr="00B24AF4" w:rsidRDefault="00B15804"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B24AF4">
        <w:rPr>
          <w:rFonts w:asciiTheme="minorHAnsi" w:hAnsiTheme="minorHAnsi" w:cstheme="minorHAnsi"/>
          <w:color w:val="000000"/>
          <w:sz w:val="20"/>
          <w:szCs w:val="20"/>
        </w:rPr>
        <w:t>Información 0,793</w:t>
      </w:r>
    </w:p>
    <w:p w14:paraId="314E5406" w14:textId="77777777" w:rsidR="00B15804" w:rsidRPr="00B24AF4" w:rsidRDefault="00B15804"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B24AF4">
        <w:rPr>
          <w:rFonts w:asciiTheme="minorHAnsi" w:hAnsiTheme="minorHAnsi" w:cstheme="minorHAnsi"/>
          <w:color w:val="000000"/>
          <w:sz w:val="20"/>
          <w:szCs w:val="20"/>
        </w:rPr>
        <w:t>Lealtad</w:t>
      </w:r>
      <w:r w:rsidRPr="00B24AF4">
        <w:rPr>
          <w:rFonts w:asciiTheme="minorHAnsi" w:hAnsiTheme="minorHAnsi" w:cstheme="minorHAnsi"/>
          <w:color w:val="000000"/>
          <w:sz w:val="20"/>
          <w:szCs w:val="20"/>
        </w:rPr>
        <w:tab/>
        <w:t>0,792</w:t>
      </w:r>
    </w:p>
    <w:p w14:paraId="24FA30EA" w14:textId="77777777" w:rsidR="00B15804" w:rsidRPr="00B24AF4" w:rsidRDefault="00B15804"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B24AF4">
        <w:rPr>
          <w:rFonts w:asciiTheme="minorHAnsi" w:hAnsiTheme="minorHAnsi" w:cstheme="minorHAnsi"/>
          <w:color w:val="000000"/>
          <w:sz w:val="20"/>
          <w:szCs w:val="20"/>
        </w:rPr>
        <w:t xml:space="preserve">Servicio </w:t>
      </w:r>
      <w:r w:rsidRPr="00B24AF4">
        <w:rPr>
          <w:rFonts w:asciiTheme="minorHAnsi" w:hAnsiTheme="minorHAnsi" w:cstheme="minorHAnsi"/>
          <w:color w:val="000000"/>
          <w:sz w:val="20"/>
          <w:szCs w:val="20"/>
        </w:rPr>
        <w:tab/>
        <w:t>0,759</w:t>
      </w:r>
    </w:p>
    <w:p w14:paraId="2D334678" w14:textId="3DACCDC0" w:rsidR="00B15804" w:rsidRPr="00B24AF4" w:rsidRDefault="00B15804"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B24AF4">
        <w:rPr>
          <w:rFonts w:asciiTheme="minorHAnsi" w:hAnsiTheme="minorHAnsi" w:cstheme="minorHAnsi"/>
          <w:color w:val="000000"/>
          <w:sz w:val="20"/>
          <w:szCs w:val="20"/>
        </w:rPr>
        <w:t>Tangibilidad 0,703</w:t>
      </w:r>
    </w:p>
    <w:p w14:paraId="1772E72A" w14:textId="0F38F72C" w:rsidR="00B15804" w:rsidRPr="00B24AF4" w:rsidRDefault="00B15804"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B24AF4">
        <w:rPr>
          <w:rFonts w:asciiTheme="minorHAnsi" w:hAnsiTheme="minorHAnsi" w:cstheme="minorHAnsi"/>
          <w:color w:val="000000"/>
          <w:sz w:val="20"/>
          <w:szCs w:val="20"/>
        </w:rPr>
        <w:t>Trato del trabajador 0,767</w:t>
      </w:r>
    </w:p>
    <w:p w14:paraId="31C657C0" w14:textId="77777777" w:rsidR="001359D1" w:rsidRPr="00B24AF4" w:rsidRDefault="001359D1"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p>
    <w:p w14:paraId="18D700D5" w14:textId="7F18A668" w:rsidR="00B15804" w:rsidRPr="00B24AF4" w:rsidRDefault="00B15804" w:rsidP="00B24AF4">
      <w:pPr>
        <w:pStyle w:val="Prrafodelista"/>
        <w:numPr>
          <w:ilvl w:val="0"/>
          <w:numId w:val="4"/>
        </w:numPr>
        <w:pBdr>
          <w:top w:val="nil"/>
          <w:left w:val="nil"/>
          <w:bottom w:val="nil"/>
          <w:right w:val="nil"/>
          <w:between w:val="nil"/>
        </w:pBdr>
        <w:jc w:val="both"/>
        <w:rPr>
          <w:rFonts w:asciiTheme="minorHAnsi" w:hAnsiTheme="minorHAnsi" w:cstheme="minorHAnsi"/>
          <w:color w:val="000000"/>
          <w:sz w:val="20"/>
          <w:szCs w:val="20"/>
        </w:rPr>
      </w:pPr>
      <w:r w:rsidRPr="00B24AF4">
        <w:rPr>
          <w:rFonts w:asciiTheme="minorHAnsi" w:hAnsiTheme="minorHAnsi" w:cstheme="minorHAnsi"/>
          <w:color w:val="000000"/>
          <w:sz w:val="20"/>
          <w:szCs w:val="20"/>
        </w:rPr>
        <w:t>Constructo Lealtad</w:t>
      </w:r>
    </w:p>
    <w:p w14:paraId="0191CE55" w14:textId="77777777" w:rsidR="001359D1" w:rsidRPr="00B24AF4" w:rsidRDefault="001359D1"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p>
    <w:p w14:paraId="75EED47B" w14:textId="77777777" w:rsidR="00B15804" w:rsidRPr="00B24AF4" w:rsidRDefault="00B15804"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B24AF4">
        <w:rPr>
          <w:rFonts w:asciiTheme="minorHAnsi" w:hAnsiTheme="minorHAnsi" w:cstheme="minorHAnsi"/>
          <w:color w:val="000000"/>
          <w:sz w:val="20"/>
          <w:szCs w:val="20"/>
        </w:rPr>
        <w:t>Lealtad</w:t>
      </w:r>
      <w:r w:rsidRPr="00B24AF4">
        <w:rPr>
          <w:rFonts w:asciiTheme="minorHAnsi" w:hAnsiTheme="minorHAnsi" w:cstheme="minorHAnsi"/>
          <w:color w:val="000000"/>
          <w:sz w:val="20"/>
          <w:szCs w:val="20"/>
        </w:rPr>
        <w:tab/>
        <w:t>0,801</w:t>
      </w:r>
    </w:p>
    <w:p w14:paraId="665A695E" w14:textId="77777777" w:rsidR="00B15804" w:rsidRPr="00B24AF4" w:rsidRDefault="00B15804"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B24AF4">
        <w:rPr>
          <w:rFonts w:asciiTheme="minorHAnsi" w:hAnsiTheme="minorHAnsi" w:cstheme="minorHAnsi"/>
          <w:color w:val="000000"/>
          <w:sz w:val="20"/>
          <w:szCs w:val="20"/>
        </w:rPr>
        <w:t xml:space="preserve">Servicio </w:t>
      </w:r>
      <w:r w:rsidRPr="00B24AF4">
        <w:rPr>
          <w:rFonts w:asciiTheme="minorHAnsi" w:hAnsiTheme="minorHAnsi" w:cstheme="minorHAnsi"/>
          <w:color w:val="000000"/>
          <w:sz w:val="20"/>
          <w:szCs w:val="20"/>
        </w:rPr>
        <w:tab/>
        <w:t>0,72</w:t>
      </w:r>
    </w:p>
    <w:p w14:paraId="35893090" w14:textId="3BD52DFF" w:rsidR="00B15804" w:rsidRPr="00B24AF4" w:rsidRDefault="00B15804"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B24AF4">
        <w:rPr>
          <w:rFonts w:asciiTheme="minorHAnsi" w:hAnsiTheme="minorHAnsi" w:cstheme="minorHAnsi"/>
          <w:color w:val="000000"/>
          <w:sz w:val="20"/>
          <w:szCs w:val="20"/>
        </w:rPr>
        <w:t>Tangibilidad 0,8</w:t>
      </w:r>
    </w:p>
    <w:p w14:paraId="1AE7BEC3" w14:textId="372D7B51" w:rsidR="00B15804" w:rsidRPr="00B24AF4" w:rsidRDefault="00B15804"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B24AF4">
        <w:rPr>
          <w:rFonts w:asciiTheme="minorHAnsi" w:hAnsiTheme="minorHAnsi" w:cstheme="minorHAnsi"/>
          <w:color w:val="000000"/>
          <w:sz w:val="20"/>
          <w:szCs w:val="20"/>
        </w:rPr>
        <w:t>Trato del trabajador 0,773</w:t>
      </w:r>
    </w:p>
    <w:p w14:paraId="6CFCAF15" w14:textId="77777777" w:rsidR="001359D1" w:rsidRPr="00B24AF4" w:rsidRDefault="001359D1"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p>
    <w:p w14:paraId="7BDDAA9D" w14:textId="02A7A5DB" w:rsidR="00B15804" w:rsidRPr="00B24AF4" w:rsidRDefault="00B15804" w:rsidP="00B24AF4">
      <w:pPr>
        <w:pStyle w:val="Prrafodelista"/>
        <w:numPr>
          <w:ilvl w:val="0"/>
          <w:numId w:val="4"/>
        </w:numPr>
        <w:pBdr>
          <w:top w:val="nil"/>
          <w:left w:val="nil"/>
          <w:bottom w:val="nil"/>
          <w:right w:val="nil"/>
          <w:between w:val="nil"/>
        </w:pBdr>
        <w:jc w:val="both"/>
        <w:rPr>
          <w:rFonts w:asciiTheme="minorHAnsi" w:hAnsiTheme="minorHAnsi" w:cstheme="minorHAnsi"/>
          <w:color w:val="000000"/>
          <w:sz w:val="20"/>
          <w:szCs w:val="20"/>
        </w:rPr>
      </w:pPr>
      <w:r w:rsidRPr="00B24AF4">
        <w:rPr>
          <w:rFonts w:asciiTheme="minorHAnsi" w:hAnsiTheme="minorHAnsi" w:cstheme="minorHAnsi"/>
          <w:color w:val="000000"/>
          <w:sz w:val="20"/>
          <w:szCs w:val="20"/>
        </w:rPr>
        <w:t>Constructo Servicios.</w:t>
      </w:r>
    </w:p>
    <w:p w14:paraId="244D2221" w14:textId="77777777" w:rsidR="001359D1" w:rsidRPr="00B24AF4" w:rsidRDefault="001359D1"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p>
    <w:p w14:paraId="63C69C56" w14:textId="77777777" w:rsidR="00B15804" w:rsidRPr="00B24AF4" w:rsidRDefault="00B15804"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B24AF4">
        <w:rPr>
          <w:rFonts w:asciiTheme="minorHAnsi" w:hAnsiTheme="minorHAnsi" w:cstheme="minorHAnsi"/>
          <w:color w:val="000000"/>
          <w:sz w:val="20"/>
          <w:szCs w:val="20"/>
        </w:rPr>
        <w:t xml:space="preserve">Servicio </w:t>
      </w:r>
      <w:r w:rsidRPr="00B24AF4">
        <w:rPr>
          <w:rFonts w:asciiTheme="minorHAnsi" w:hAnsiTheme="minorHAnsi" w:cstheme="minorHAnsi"/>
          <w:color w:val="000000"/>
          <w:sz w:val="20"/>
          <w:szCs w:val="20"/>
        </w:rPr>
        <w:tab/>
        <w:t>0,76</w:t>
      </w:r>
    </w:p>
    <w:p w14:paraId="556885C7" w14:textId="47E4DC8C" w:rsidR="00B15804" w:rsidRPr="00B24AF4" w:rsidRDefault="00B15804"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B24AF4">
        <w:rPr>
          <w:rFonts w:asciiTheme="minorHAnsi" w:hAnsiTheme="minorHAnsi" w:cstheme="minorHAnsi"/>
          <w:color w:val="000000"/>
          <w:sz w:val="20"/>
          <w:szCs w:val="20"/>
        </w:rPr>
        <w:t>Tangibilidad 0,742</w:t>
      </w:r>
    </w:p>
    <w:p w14:paraId="4BB51C1F" w14:textId="6C9BC22A" w:rsidR="00B15804" w:rsidRPr="00B24AF4" w:rsidRDefault="00B15804"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B24AF4">
        <w:rPr>
          <w:rFonts w:asciiTheme="minorHAnsi" w:hAnsiTheme="minorHAnsi" w:cstheme="minorHAnsi"/>
          <w:color w:val="000000"/>
          <w:sz w:val="20"/>
          <w:szCs w:val="20"/>
        </w:rPr>
        <w:t>Trato del trabajador 0,729</w:t>
      </w:r>
    </w:p>
    <w:p w14:paraId="3417C3AE" w14:textId="77777777" w:rsidR="001359D1" w:rsidRPr="00B24AF4" w:rsidRDefault="001359D1"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p>
    <w:p w14:paraId="5F0B8A1C" w14:textId="34BB3F91" w:rsidR="00B15804" w:rsidRPr="00B24AF4" w:rsidRDefault="00B15804" w:rsidP="00B24AF4">
      <w:pPr>
        <w:pStyle w:val="Prrafodelista"/>
        <w:numPr>
          <w:ilvl w:val="0"/>
          <w:numId w:val="4"/>
        </w:numPr>
        <w:pBdr>
          <w:top w:val="nil"/>
          <w:left w:val="nil"/>
          <w:bottom w:val="nil"/>
          <w:right w:val="nil"/>
          <w:between w:val="nil"/>
        </w:pBdr>
        <w:jc w:val="both"/>
        <w:rPr>
          <w:rFonts w:asciiTheme="minorHAnsi" w:hAnsiTheme="minorHAnsi" w:cstheme="minorHAnsi"/>
          <w:color w:val="000000"/>
          <w:sz w:val="20"/>
          <w:szCs w:val="20"/>
        </w:rPr>
      </w:pPr>
      <w:r w:rsidRPr="00B24AF4">
        <w:rPr>
          <w:rFonts w:asciiTheme="minorHAnsi" w:hAnsiTheme="minorHAnsi" w:cstheme="minorHAnsi"/>
          <w:color w:val="000000"/>
          <w:sz w:val="20"/>
          <w:szCs w:val="20"/>
        </w:rPr>
        <w:t>Constructo Tangibilidad.</w:t>
      </w:r>
    </w:p>
    <w:p w14:paraId="3E22FF04" w14:textId="77777777" w:rsidR="001359D1" w:rsidRPr="00B24AF4" w:rsidRDefault="001359D1"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p>
    <w:p w14:paraId="4A3DA341" w14:textId="360D3785" w:rsidR="00B15804" w:rsidRPr="00B24AF4" w:rsidRDefault="001359D1"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B24AF4">
        <w:rPr>
          <w:rFonts w:asciiTheme="minorHAnsi" w:hAnsiTheme="minorHAnsi" w:cstheme="minorHAnsi"/>
          <w:color w:val="000000"/>
          <w:sz w:val="20"/>
          <w:szCs w:val="20"/>
        </w:rPr>
        <w:t xml:space="preserve">Tangibilidad </w:t>
      </w:r>
      <w:r w:rsidR="00B15804" w:rsidRPr="00B24AF4">
        <w:rPr>
          <w:rFonts w:asciiTheme="minorHAnsi" w:hAnsiTheme="minorHAnsi" w:cstheme="minorHAnsi"/>
          <w:color w:val="000000"/>
          <w:sz w:val="20"/>
          <w:szCs w:val="20"/>
        </w:rPr>
        <w:t>0,865</w:t>
      </w:r>
    </w:p>
    <w:p w14:paraId="31EDC917" w14:textId="1A4AB3A4" w:rsidR="00B15804" w:rsidRPr="00B24AF4" w:rsidRDefault="001359D1"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B24AF4">
        <w:rPr>
          <w:rFonts w:asciiTheme="minorHAnsi" w:hAnsiTheme="minorHAnsi" w:cstheme="minorHAnsi"/>
          <w:color w:val="000000"/>
          <w:sz w:val="20"/>
          <w:szCs w:val="20"/>
        </w:rPr>
        <w:t xml:space="preserve">Trato del trabajador </w:t>
      </w:r>
      <w:r w:rsidR="00B15804" w:rsidRPr="00B24AF4">
        <w:rPr>
          <w:rFonts w:asciiTheme="minorHAnsi" w:hAnsiTheme="minorHAnsi" w:cstheme="minorHAnsi"/>
          <w:color w:val="000000"/>
          <w:sz w:val="20"/>
          <w:szCs w:val="20"/>
        </w:rPr>
        <w:t>0,753</w:t>
      </w:r>
    </w:p>
    <w:p w14:paraId="40296C65" w14:textId="77777777" w:rsidR="001359D1" w:rsidRPr="00B24AF4" w:rsidRDefault="001359D1"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p>
    <w:p w14:paraId="3DA10706" w14:textId="142D0644" w:rsidR="00B15804" w:rsidRPr="00B24AF4" w:rsidRDefault="00B15804" w:rsidP="00B24AF4">
      <w:pPr>
        <w:pStyle w:val="Prrafodelista"/>
        <w:numPr>
          <w:ilvl w:val="0"/>
          <w:numId w:val="4"/>
        </w:numPr>
        <w:pBdr>
          <w:top w:val="nil"/>
          <w:left w:val="nil"/>
          <w:bottom w:val="nil"/>
          <w:right w:val="nil"/>
          <w:between w:val="nil"/>
        </w:pBdr>
        <w:jc w:val="both"/>
        <w:rPr>
          <w:rFonts w:asciiTheme="minorHAnsi" w:hAnsiTheme="minorHAnsi" w:cstheme="minorHAnsi"/>
          <w:color w:val="000000"/>
          <w:sz w:val="20"/>
          <w:szCs w:val="20"/>
        </w:rPr>
      </w:pPr>
      <w:r w:rsidRPr="00B24AF4">
        <w:rPr>
          <w:rFonts w:asciiTheme="minorHAnsi" w:hAnsiTheme="minorHAnsi" w:cstheme="minorHAnsi"/>
          <w:color w:val="000000"/>
          <w:sz w:val="20"/>
          <w:szCs w:val="20"/>
        </w:rPr>
        <w:t>Constructo Trato</w:t>
      </w:r>
    </w:p>
    <w:p w14:paraId="0AC40CCB" w14:textId="541E0D4C" w:rsidR="001359D1" w:rsidRPr="00B24AF4" w:rsidRDefault="001359D1"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B24AF4">
        <w:rPr>
          <w:rFonts w:asciiTheme="minorHAnsi" w:hAnsiTheme="minorHAnsi" w:cstheme="minorHAnsi"/>
          <w:color w:val="000000"/>
          <w:sz w:val="20"/>
          <w:szCs w:val="20"/>
        </w:rPr>
        <w:t>Trato del trabajador 0,774. Elaboración propia según Smart PLS. Fin de descripción Tabla 3. Vuelva al texto.</w:t>
      </w:r>
    </w:p>
    <w:p w14:paraId="5BFDEB7D" w14:textId="360CA8E2" w:rsidR="00B15804" w:rsidRPr="00B24AF4" w:rsidRDefault="00B15804"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p>
    <w:p w14:paraId="5FBCA817" w14:textId="77777777" w:rsidR="002316EB" w:rsidRDefault="002316EB" w:rsidP="0089552B">
      <w:pPr>
        <w:spacing w:after="0" w:line="240" w:lineRule="auto"/>
        <w:ind w:firstLine="426"/>
        <w:rPr>
          <w:sz w:val="20"/>
          <w:szCs w:val="20"/>
        </w:rPr>
      </w:pPr>
    </w:p>
    <w:p w14:paraId="6389760F" w14:textId="0ED25804" w:rsidR="002316EB" w:rsidRPr="003451F6" w:rsidRDefault="00FA373F" w:rsidP="0089552B">
      <w:pPr>
        <w:spacing w:after="0" w:line="240" w:lineRule="auto"/>
        <w:rPr>
          <w:b/>
          <w:sz w:val="20"/>
          <w:szCs w:val="20"/>
        </w:rPr>
      </w:pPr>
      <w:r w:rsidRPr="003451F6">
        <w:rPr>
          <w:b/>
          <w:sz w:val="20"/>
          <w:szCs w:val="20"/>
        </w:rPr>
        <w:t>Carga cruzada</w:t>
      </w:r>
      <w:r w:rsidR="003451F6">
        <w:rPr>
          <w:b/>
          <w:sz w:val="20"/>
          <w:szCs w:val="20"/>
        </w:rPr>
        <w:t>.</w:t>
      </w:r>
      <w:r w:rsidRPr="003451F6">
        <w:rPr>
          <w:b/>
          <w:sz w:val="20"/>
          <w:szCs w:val="20"/>
        </w:rPr>
        <w:t xml:space="preserve"> </w:t>
      </w:r>
    </w:p>
    <w:p w14:paraId="2B831962" w14:textId="77777777" w:rsidR="002316EB" w:rsidRDefault="002316EB" w:rsidP="0089552B">
      <w:pPr>
        <w:spacing w:after="0" w:line="240" w:lineRule="auto"/>
        <w:rPr>
          <w:b/>
          <w:i/>
          <w:sz w:val="20"/>
          <w:szCs w:val="20"/>
        </w:rPr>
      </w:pPr>
    </w:p>
    <w:p w14:paraId="5F7188B6" w14:textId="77777777" w:rsidR="002316EB" w:rsidRDefault="00FA373F" w:rsidP="0089552B">
      <w:pPr>
        <w:spacing w:after="0" w:line="240" w:lineRule="auto"/>
        <w:jc w:val="both"/>
        <w:rPr>
          <w:sz w:val="20"/>
          <w:szCs w:val="20"/>
        </w:rPr>
      </w:pPr>
      <w:r>
        <w:rPr>
          <w:sz w:val="20"/>
          <w:szCs w:val="20"/>
        </w:rPr>
        <w:t xml:space="preserve">La validez discriminante se puede medir examinando las cargas factoriales cruzadas de las variables observadas - indicadores (Leyva Cordero y </w:t>
      </w:r>
      <w:proofErr w:type="spellStart"/>
      <w:r>
        <w:rPr>
          <w:sz w:val="20"/>
          <w:szCs w:val="20"/>
        </w:rPr>
        <w:t>Olague</w:t>
      </w:r>
      <w:proofErr w:type="spellEnd"/>
      <w:r>
        <w:rPr>
          <w:sz w:val="20"/>
          <w:szCs w:val="20"/>
        </w:rPr>
        <w:t xml:space="preserve"> de la Cruz, 2014). Se puede hacer comparando las cargas externas de un indicador en los constructos asociados y debe ser mayor que toda su carga en los otros constructos (Ruiz et al., 2010). La Tabla 4 muestra que en todos los ítems que miden un constructo en particular las cargas obtienen valores más altos en sus respectivas variables latentes y se obtienen valores más abajo en las otras variables latentes. De modo que confirman la validez discriminante de los constructos.</w:t>
      </w:r>
    </w:p>
    <w:p w14:paraId="21968C3B" w14:textId="318EAAE8" w:rsidR="002316EB" w:rsidRDefault="002316EB" w:rsidP="0089552B">
      <w:pPr>
        <w:spacing w:after="0" w:line="240" w:lineRule="auto"/>
        <w:jc w:val="both"/>
        <w:rPr>
          <w:sz w:val="20"/>
          <w:szCs w:val="20"/>
        </w:rPr>
      </w:pPr>
    </w:p>
    <w:p w14:paraId="493F5E9F" w14:textId="77777777" w:rsidR="0089552B" w:rsidRDefault="0089552B" w:rsidP="0089552B">
      <w:pPr>
        <w:spacing w:after="0" w:line="240" w:lineRule="auto"/>
        <w:jc w:val="both"/>
        <w:rPr>
          <w:sz w:val="20"/>
          <w:szCs w:val="20"/>
        </w:rPr>
      </w:pPr>
    </w:p>
    <w:p w14:paraId="278E6C4E" w14:textId="77777777" w:rsidR="002316EB" w:rsidRDefault="00FA373F" w:rsidP="0089552B">
      <w:pPr>
        <w:spacing w:after="0" w:line="240" w:lineRule="auto"/>
        <w:jc w:val="center"/>
        <w:rPr>
          <w:sz w:val="20"/>
          <w:szCs w:val="20"/>
        </w:rPr>
      </w:pPr>
      <w:r>
        <w:rPr>
          <w:b/>
          <w:sz w:val="20"/>
          <w:szCs w:val="20"/>
        </w:rPr>
        <w:t>Tabla 4</w:t>
      </w:r>
    </w:p>
    <w:p w14:paraId="1DDDC102" w14:textId="77777777" w:rsidR="002316EB" w:rsidRDefault="00FA373F" w:rsidP="0089552B">
      <w:pPr>
        <w:spacing w:after="0" w:line="240" w:lineRule="auto"/>
        <w:jc w:val="center"/>
        <w:rPr>
          <w:i/>
          <w:sz w:val="20"/>
          <w:szCs w:val="20"/>
        </w:rPr>
      </w:pPr>
      <w:r>
        <w:rPr>
          <w:i/>
          <w:sz w:val="20"/>
          <w:szCs w:val="20"/>
        </w:rPr>
        <w:t>Carga factoriales cruzadas</w:t>
      </w:r>
    </w:p>
    <w:p w14:paraId="5F4226F1" w14:textId="77777777" w:rsidR="002316EB" w:rsidRDefault="002316EB" w:rsidP="0089552B">
      <w:pPr>
        <w:spacing w:after="0" w:line="240" w:lineRule="auto"/>
        <w:jc w:val="center"/>
        <w:rPr>
          <w:sz w:val="20"/>
          <w:szCs w:val="20"/>
        </w:rPr>
      </w:pPr>
    </w:p>
    <w:p w14:paraId="3C3CABEE" w14:textId="77777777" w:rsidR="00FA373F" w:rsidRDefault="00FA373F" w:rsidP="0089552B">
      <w:pPr>
        <w:spacing w:after="0" w:line="240" w:lineRule="auto"/>
        <w:jc w:val="center"/>
        <w:rPr>
          <w:i/>
          <w:sz w:val="16"/>
          <w:szCs w:val="16"/>
        </w:rPr>
      </w:pPr>
      <w:r>
        <w:rPr>
          <w:noProof/>
          <w:lang w:val="es-AR" w:eastAsia="es-AR"/>
        </w:rPr>
        <w:lastRenderedPageBreak/>
        <w:drawing>
          <wp:inline distT="0" distB="0" distL="0" distR="0" wp14:anchorId="0AF186CC" wp14:editId="3234A701">
            <wp:extent cx="4100053" cy="2723744"/>
            <wp:effectExtent l="0" t="0" r="2540" b="0"/>
            <wp:docPr id="3" name="Imagen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6C79420F-296A-E34C-8F85-BC3697AE50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6C79420F-296A-E34C-8F85-BC3697AE5065}"/>
                        </a:ext>
                      </a:extLst>
                    </pic:cNvPr>
                    <pic:cNvPicPr>
                      <a:picLocks noChangeAspect="1"/>
                    </pic:cNvPicPr>
                  </pic:nvPicPr>
                  <pic:blipFill>
                    <a:blip r:embed="rId19"/>
                    <a:stretch>
                      <a:fillRect/>
                    </a:stretch>
                  </pic:blipFill>
                  <pic:spPr>
                    <a:xfrm>
                      <a:off x="0" y="0"/>
                      <a:ext cx="4111543" cy="2731377"/>
                    </a:xfrm>
                    <a:prstGeom prst="rect">
                      <a:avLst/>
                    </a:prstGeom>
                  </pic:spPr>
                </pic:pic>
              </a:graphicData>
            </a:graphic>
          </wp:inline>
        </w:drawing>
      </w:r>
    </w:p>
    <w:p w14:paraId="60FF565A" w14:textId="28F78F2E" w:rsidR="002316EB" w:rsidRPr="0089552B" w:rsidRDefault="00FA373F" w:rsidP="0089552B">
      <w:pPr>
        <w:spacing w:after="0" w:line="240" w:lineRule="auto"/>
        <w:jc w:val="center"/>
        <w:rPr>
          <w:sz w:val="16"/>
          <w:szCs w:val="16"/>
        </w:rPr>
      </w:pPr>
      <w:r w:rsidRPr="0089552B">
        <w:rPr>
          <w:i/>
          <w:sz w:val="16"/>
          <w:szCs w:val="16"/>
        </w:rPr>
        <w:t>Nota</w:t>
      </w:r>
      <w:r w:rsidRPr="0089552B">
        <w:rPr>
          <w:sz w:val="16"/>
          <w:szCs w:val="16"/>
        </w:rPr>
        <w:t>. Elaboración propia según Smart PLS</w:t>
      </w:r>
    </w:p>
    <w:p w14:paraId="3EA094E9" w14:textId="77777777" w:rsidR="002316EB" w:rsidRDefault="002316EB" w:rsidP="0089552B">
      <w:pPr>
        <w:spacing w:after="0" w:line="240" w:lineRule="auto"/>
        <w:ind w:left="851"/>
        <w:jc w:val="both"/>
        <w:rPr>
          <w:sz w:val="20"/>
          <w:szCs w:val="20"/>
        </w:rPr>
      </w:pPr>
    </w:p>
    <w:p w14:paraId="317D7CCC" w14:textId="77777777" w:rsidR="002316EB" w:rsidRDefault="002316EB" w:rsidP="0089552B">
      <w:pPr>
        <w:spacing w:after="0" w:line="240" w:lineRule="auto"/>
        <w:ind w:left="851"/>
        <w:jc w:val="both"/>
        <w:rPr>
          <w:sz w:val="20"/>
          <w:szCs w:val="20"/>
        </w:rPr>
      </w:pPr>
    </w:p>
    <w:p w14:paraId="58451C27" w14:textId="5F510F29" w:rsidR="00A373E7" w:rsidRPr="00A373E7" w:rsidRDefault="00A373E7" w:rsidP="00A373E7">
      <w:pPr>
        <w:spacing w:after="0" w:line="240" w:lineRule="auto"/>
        <w:jc w:val="both"/>
        <w:rPr>
          <w:sz w:val="20"/>
          <w:szCs w:val="20"/>
        </w:rPr>
      </w:pPr>
      <w:r w:rsidRPr="00A373E7">
        <w:rPr>
          <w:sz w:val="20"/>
          <w:szCs w:val="20"/>
        </w:rPr>
        <w:t>Descripción Tabla 4. Carga factoriales cruzadas</w:t>
      </w:r>
      <w:r w:rsidR="00D4186A">
        <w:rPr>
          <w:sz w:val="20"/>
          <w:szCs w:val="20"/>
        </w:rPr>
        <w:t>.</w:t>
      </w:r>
    </w:p>
    <w:p w14:paraId="4376D517" w14:textId="76A99609" w:rsidR="00A373E7" w:rsidRDefault="00A373E7" w:rsidP="0089552B">
      <w:pPr>
        <w:spacing w:after="0" w:line="240" w:lineRule="auto"/>
        <w:jc w:val="both"/>
        <w:rPr>
          <w:b/>
          <w:sz w:val="20"/>
          <w:szCs w:val="20"/>
        </w:rPr>
      </w:pPr>
    </w:p>
    <w:p w14:paraId="6E55EB1E" w14:textId="0D45AF1D" w:rsidR="00A373E7" w:rsidRPr="00A373E7" w:rsidRDefault="00A373E7" w:rsidP="00A373E7">
      <w:pPr>
        <w:spacing w:after="0" w:line="240" w:lineRule="auto"/>
        <w:jc w:val="both"/>
        <w:rPr>
          <w:sz w:val="20"/>
          <w:szCs w:val="20"/>
        </w:rPr>
      </w:pPr>
      <w:r w:rsidRPr="00A373E7">
        <w:rPr>
          <w:sz w:val="20"/>
          <w:szCs w:val="20"/>
        </w:rPr>
        <w:t xml:space="preserve">Descripción. Descripción. Mediante una tabla se presentan para cada una de las variables que componen los constructos Información, lealtad, servicio, Tangibilidad y Trato del Trabajador, las cargas factoriales cruzadas. </w:t>
      </w:r>
      <w:r w:rsidR="00B24AF4">
        <w:rPr>
          <w:sz w:val="20"/>
          <w:szCs w:val="20"/>
        </w:rPr>
        <w:t>(No se considera relevante el desarrollo de cada una de las cargas factoriales cruzadas</w:t>
      </w:r>
      <w:r w:rsidR="00D4186A">
        <w:rPr>
          <w:sz w:val="20"/>
          <w:szCs w:val="20"/>
        </w:rPr>
        <w:t xml:space="preserve">, a los </w:t>
      </w:r>
      <w:proofErr w:type="spellStart"/>
      <w:r w:rsidR="00D4186A">
        <w:rPr>
          <w:sz w:val="20"/>
          <w:szCs w:val="20"/>
        </w:rPr>
        <w:t>findes</w:t>
      </w:r>
      <w:proofErr w:type="spellEnd"/>
      <w:r w:rsidR="00D4186A">
        <w:rPr>
          <w:sz w:val="20"/>
          <w:szCs w:val="20"/>
        </w:rPr>
        <w:t xml:space="preserve"> de la compresión del artículo</w:t>
      </w:r>
      <w:r w:rsidR="00B24AF4">
        <w:rPr>
          <w:sz w:val="20"/>
          <w:szCs w:val="20"/>
        </w:rPr>
        <w:t xml:space="preserve">). </w:t>
      </w:r>
      <w:r w:rsidRPr="00A373E7">
        <w:rPr>
          <w:sz w:val="20"/>
          <w:szCs w:val="20"/>
        </w:rPr>
        <w:t>Elaboración propia según Smart PLS</w:t>
      </w:r>
      <w:r>
        <w:rPr>
          <w:sz w:val="20"/>
          <w:szCs w:val="20"/>
        </w:rPr>
        <w:t xml:space="preserve">. </w:t>
      </w:r>
      <w:r w:rsidRPr="00A373E7">
        <w:rPr>
          <w:sz w:val="20"/>
          <w:szCs w:val="20"/>
        </w:rPr>
        <w:t>Fin de Descripción Tabla 4. Vuelva al texto.</w:t>
      </w:r>
    </w:p>
    <w:p w14:paraId="40D9ADF2" w14:textId="77777777" w:rsidR="00A373E7" w:rsidRPr="00A373E7" w:rsidRDefault="00A373E7" w:rsidP="0089552B">
      <w:pPr>
        <w:spacing w:after="0" w:line="240" w:lineRule="auto"/>
        <w:jc w:val="both"/>
        <w:rPr>
          <w:sz w:val="20"/>
          <w:szCs w:val="20"/>
        </w:rPr>
      </w:pPr>
    </w:p>
    <w:p w14:paraId="362962E5" w14:textId="36873F3C" w:rsidR="002316EB" w:rsidRPr="003451F6" w:rsidRDefault="00FA373F" w:rsidP="0089552B">
      <w:pPr>
        <w:spacing w:after="0" w:line="240" w:lineRule="auto"/>
        <w:jc w:val="both"/>
        <w:rPr>
          <w:b/>
          <w:sz w:val="20"/>
          <w:szCs w:val="20"/>
        </w:rPr>
      </w:pPr>
      <w:r w:rsidRPr="003451F6">
        <w:rPr>
          <w:b/>
          <w:sz w:val="20"/>
          <w:szCs w:val="20"/>
        </w:rPr>
        <w:t>Modelo Estructural con estimación PLS</w:t>
      </w:r>
      <w:r w:rsidR="003451F6" w:rsidRPr="003451F6">
        <w:rPr>
          <w:b/>
          <w:sz w:val="20"/>
          <w:szCs w:val="20"/>
        </w:rPr>
        <w:t>.</w:t>
      </w:r>
    </w:p>
    <w:p w14:paraId="6CC3BB4A" w14:textId="77777777" w:rsidR="002316EB" w:rsidRPr="003451F6" w:rsidRDefault="002316EB" w:rsidP="0089552B">
      <w:pPr>
        <w:spacing w:after="0" w:line="240" w:lineRule="auto"/>
        <w:jc w:val="both"/>
        <w:rPr>
          <w:b/>
          <w:sz w:val="20"/>
          <w:szCs w:val="20"/>
        </w:rPr>
      </w:pPr>
    </w:p>
    <w:p w14:paraId="2BF4E664" w14:textId="77777777" w:rsidR="002316EB" w:rsidRDefault="00FA373F" w:rsidP="0089552B">
      <w:pPr>
        <w:spacing w:after="0" w:line="240" w:lineRule="auto"/>
        <w:jc w:val="both"/>
        <w:rPr>
          <w:sz w:val="20"/>
          <w:szCs w:val="20"/>
        </w:rPr>
      </w:pPr>
      <w:r>
        <w:rPr>
          <w:sz w:val="20"/>
          <w:szCs w:val="20"/>
        </w:rPr>
        <w:t xml:space="preserve">Después de lograr el modelo de medición, las hipótesis se probaron ejecutando un proceso de </w:t>
      </w:r>
      <w:proofErr w:type="spellStart"/>
      <w:r>
        <w:rPr>
          <w:i/>
          <w:sz w:val="20"/>
          <w:szCs w:val="20"/>
        </w:rPr>
        <w:t>bootstraping</w:t>
      </w:r>
      <w:proofErr w:type="spellEnd"/>
      <w:r>
        <w:rPr>
          <w:sz w:val="20"/>
          <w:szCs w:val="20"/>
        </w:rPr>
        <w:t xml:space="preserve"> mediante un número de </w:t>
      </w:r>
      <w:proofErr w:type="spellStart"/>
      <w:r>
        <w:rPr>
          <w:sz w:val="20"/>
          <w:szCs w:val="20"/>
        </w:rPr>
        <w:t>submuestras</w:t>
      </w:r>
      <w:proofErr w:type="spellEnd"/>
      <w:r>
        <w:rPr>
          <w:sz w:val="20"/>
          <w:szCs w:val="20"/>
        </w:rPr>
        <w:t xml:space="preserve"> de 500, como lo sustentan </w:t>
      </w:r>
      <w:proofErr w:type="spellStart"/>
      <w:r>
        <w:rPr>
          <w:sz w:val="20"/>
          <w:szCs w:val="20"/>
        </w:rPr>
        <w:t>Hair</w:t>
      </w:r>
      <w:proofErr w:type="spellEnd"/>
      <w:r>
        <w:rPr>
          <w:sz w:val="20"/>
          <w:szCs w:val="20"/>
        </w:rPr>
        <w:t xml:space="preserve"> et al. (2017). La Tabla 5 muestra los resultados del contraste de hipótesis, se puede ver que las cuatro hipótesis tienen una influencia significativa con sus respectivas variables latentes. El servicio influye significativamente en la lealtad de los clientes, H1: (β = 0,327, t = 6,189, p &lt;0,001); del mismo modo, la información influye significativamente en la lealtad de los clientes, H2: (β = 0,273, t = 5,297, p &lt;0,001); la hipótesis H3, que sostiene que el trato de los trabajadores influye significativamente en la lealtad de los clientes, está respaldada por (β = 0,245, t = 4,378, p &lt;0,001); adicionalmente, la hipótesis H4, según la cual la tangibilidad influye significativamente en la lealtad de los clientes, se prueba debido a los valores  (β = 0,096, t = 2,231, p &lt;0,05). Esto demuestra la validez del modelo en las cajas rurales de ahorro y crédito. Además, el </w:t>
      </w:r>
      <w:r>
        <w:rPr>
          <w:rFonts w:ascii="Cambria Math" w:eastAsia="Cambria Math" w:hAnsi="Cambria Math" w:cs="Cambria Math"/>
          <w:sz w:val="20"/>
          <w:szCs w:val="20"/>
        </w:rPr>
        <w:t>𝑅</w:t>
      </w:r>
      <w:r>
        <w:rPr>
          <w:sz w:val="20"/>
          <w:szCs w:val="20"/>
          <w:vertAlign w:val="superscript"/>
        </w:rPr>
        <w:t>2</w:t>
      </w:r>
      <w:r>
        <w:rPr>
          <w:sz w:val="20"/>
          <w:szCs w:val="20"/>
        </w:rPr>
        <w:t>, que mide el tamaño del efecto en la lealtad de los clientes, es de 0,750, que es aceptable según el límite sugerido por Jacob Cohen (1988). Para finalizar, el residuo estandarizado cuadrático medio (SRMR) fue 0,063 donde un valor de SRMR &lt; 0,08 es aceptable y SRMR &lt; 0,05 es óptimo.</w:t>
      </w:r>
    </w:p>
    <w:p w14:paraId="6D37625E" w14:textId="1F1DD986" w:rsidR="002316EB" w:rsidRDefault="002316EB" w:rsidP="0089552B">
      <w:pPr>
        <w:spacing w:after="0" w:line="240" w:lineRule="auto"/>
        <w:jc w:val="both"/>
        <w:rPr>
          <w:sz w:val="20"/>
          <w:szCs w:val="20"/>
        </w:rPr>
      </w:pPr>
    </w:p>
    <w:p w14:paraId="572EA266" w14:textId="77777777" w:rsidR="0089552B" w:rsidRDefault="0089552B" w:rsidP="0089552B">
      <w:pPr>
        <w:spacing w:after="0" w:line="240" w:lineRule="auto"/>
        <w:jc w:val="both"/>
        <w:rPr>
          <w:sz w:val="20"/>
          <w:szCs w:val="20"/>
        </w:rPr>
      </w:pPr>
    </w:p>
    <w:p w14:paraId="00C59A67" w14:textId="77777777" w:rsidR="002316EB" w:rsidRDefault="00FA373F" w:rsidP="0089552B">
      <w:pPr>
        <w:spacing w:after="0" w:line="240" w:lineRule="auto"/>
        <w:jc w:val="center"/>
        <w:rPr>
          <w:sz w:val="20"/>
          <w:szCs w:val="20"/>
        </w:rPr>
      </w:pPr>
      <w:r>
        <w:rPr>
          <w:b/>
          <w:sz w:val="20"/>
          <w:szCs w:val="20"/>
        </w:rPr>
        <w:t>Tabla 5</w:t>
      </w:r>
    </w:p>
    <w:p w14:paraId="37C10469" w14:textId="77777777" w:rsidR="002316EB" w:rsidRDefault="00FA373F" w:rsidP="0089552B">
      <w:pPr>
        <w:spacing w:after="0" w:line="240" w:lineRule="auto"/>
        <w:jc w:val="center"/>
        <w:rPr>
          <w:i/>
          <w:sz w:val="20"/>
          <w:szCs w:val="20"/>
        </w:rPr>
      </w:pPr>
      <w:r>
        <w:rPr>
          <w:i/>
          <w:sz w:val="20"/>
          <w:szCs w:val="20"/>
        </w:rPr>
        <w:t>Análisis del modelo estructural (prueba de hipótesis)</w:t>
      </w:r>
    </w:p>
    <w:p w14:paraId="02D30352" w14:textId="77777777" w:rsidR="002316EB" w:rsidRDefault="002316EB" w:rsidP="0089552B">
      <w:pPr>
        <w:spacing w:after="0" w:line="240" w:lineRule="auto"/>
        <w:jc w:val="both"/>
        <w:rPr>
          <w:sz w:val="20"/>
          <w:szCs w:val="20"/>
        </w:rPr>
      </w:pPr>
    </w:p>
    <w:p w14:paraId="1B928DC0" w14:textId="3FF3FD2C" w:rsidR="00FA373F" w:rsidRDefault="00FA373F" w:rsidP="0089552B">
      <w:pPr>
        <w:widowControl w:val="0"/>
        <w:pBdr>
          <w:top w:val="nil"/>
          <w:left w:val="nil"/>
          <w:bottom w:val="nil"/>
          <w:right w:val="nil"/>
          <w:between w:val="nil"/>
        </w:pBdr>
        <w:spacing w:after="0" w:line="240" w:lineRule="auto"/>
        <w:jc w:val="center"/>
        <w:rPr>
          <w:color w:val="000000"/>
          <w:sz w:val="16"/>
          <w:szCs w:val="16"/>
        </w:rPr>
      </w:pPr>
      <w:r>
        <w:rPr>
          <w:noProof/>
          <w:lang w:val="es-AR" w:eastAsia="es-AR"/>
        </w:rPr>
        <w:lastRenderedPageBreak/>
        <w:drawing>
          <wp:inline distT="0" distB="0" distL="0" distR="0" wp14:anchorId="0E4458CE" wp14:editId="1F9C62BE">
            <wp:extent cx="5612130" cy="1369695"/>
            <wp:effectExtent l="0" t="0" r="1270" b="1905"/>
            <wp:docPr id="5" name="Imagen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B2159237-3041-7C47-A34C-B1FB6CDCF7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B2159237-3041-7C47-A34C-B1FB6CDCF746}"/>
                        </a:ext>
                      </a:extLst>
                    </pic:cNvPr>
                    <pic:cNvPicPr>
                      <a:picLocks noChangeAspect="1"/>
                    </pic:cNvPicPr>
                  </pic:nvPicPr>
                  <pic:blipFill>
                    <a:blip r:embed="rId20"/>
                    <a:stretch>
                      <a:fillRect/>
                    </a:stretch>
                  </pic:blipFill>
                  <pic:spPr>
                    <a:xfrm>
                      <a:off x="0" y="0"/>
                      <a:ext cx="5612130" cy="1369695"/>
                    </a:xfrm>
                    <a:prstGeom prst="rect">
                      <a:avLst/>
                    </a:prstGeom>
                  </pic:spPr>
                </pic:pic>
              </a:graphicData>
            </a:graphic>
          </wp:inline>
        </w:drawing>
      </w:r>
    </w:p>
    <w:p w14:paraId="2F346AFD" w14:textId="67855BE9" w:rsidR="00FA373F" w:rsidRDefault="00FA373F" w:rsidP="0089552B">
      <w:pPr>
        <w:widowControl w:val="0"/>
        <w:pBdr>
          <w:top w:val="nil"/>
          <w:left w:val="nil"/>
          <w:bottom w:val="nil"/>
          <w:right w:val="nil"/>
          <w:between w:val="nil"/>
        </w:pBdr>
        <w:spacing w:after="0" w:line="240" w:lineRule="auto"/>
        <w:jc w:val="center"/>
        <w:rPr>
          <w:color w:val="000000"/>
          <w:sz w:val="16"/>
          <w:szCs w:val="16"/>
        </w:rPr>
      </w:pPr>
      <w:r w:rsidRPr="00FA373F">
        <w:rPr>
          <w:i/>
          <w:iCs/>
          <w:color w:val="000000"/>
          <w:sz w:val="16"/>
          <w:szCs w:val="16"/>
        </w:rPr>
        <w:t>Nota.</w:t>
      </w:r>
      <w:r>
        <w:rPr>
          <w:color w:val="000000"/>
          <w:sz w:val="16"/>
          <w:szCs w:val="16"/>
        </w:rPr>
        <w:t xml:space="preserve"> </w:t>
      </w:r>
      <w:r w:rsidRPr="00FA373F">
        <w:rPr>
          <w:color w:val="000000"/>
          <w:sz w:val="16"/>
          <w:szCs w:val="16"/>
        </w:rPr>
        <w:t>Nivel de significancia donde, * p &lt;0.05, ** p &lt;0.01, *** p &lt;0.001</w:t>
      </w:r>
    </w:p>
    <w:p w14:paraId="53A5EA46" w14:textId="15CAAE6F" w:rsidR="002316EB" w:rsidRPr="0089552B" w:rsidRDefault="00FA373F" w:rsidP="0089552B">
      <w:pPr>
        <w:widowControl w:val="0"/>
        <w:pBdr>
          <w:top w:val="nil"/>
          <w:left w:val="nil"/>
          <w:bottom w:val="nil"/>
          <w:right w:val="nil"/>
          <w:between w:val="nil"/>
        </w:pBdr>
        <w:spacing w:after="0" w:line="240" w:lineRule="auto"/>
        <w:jc w:val="center"/>
        <w:rPr>
          <w:color w:val="000000"/>
          <w:sz w:val="16"/>
          <w:szCs w:val="16"/>
        </w:rPr>
      </w:pPr>
      <w:r w:rsidRPr="0089552B">
        <w:rPr>
          <w:color w:val="000000"/>
          <w:sz w:val="16"/>
          <w:szCs w:val="16"/>
        </w:rPr>
        <w:t>Elaboración propia según Smart PLS</w:t>
      </w:r>
    </w:p>
    <w:p w14:paraId="1F196B1B" w14:textId="77777777" w:rsidR="002316EB" w:rsidRDefault="002316EB" w:rsidP="0089552B">
      <w:pPr>
        <w:widowControl w:val="0"/>
        <w:pBdr>
          <w:top w:val="nil"/>
          <w:left w:val="nil"/>
          <w:bottom w:val="nil"/>
          <w:right w:val="nil"/>
          <w:between w:val="nil"/>
        </w:pBdr>
        <w:spacing w:after="0" w:line="240" w:lineRule="auto"/>
        <w:jc w:val="both"/>
        <w:rPr>
          <w:color w:val="595959"/>
          <w:sz w:val="20"/>
          <w:szCs w:val="20"/>
        </w:rPr>
      </w:pPr>
    </w:p>
    <w:p w14:paraId="5746BF84" w14:textId="649A27B3" w:rsidR="00B24AF4" w:rsidRPr="00B24AF4" w:rsidRDefault="00B24AF4" w:rsidP="00B24AF4">
      <w:pPr>
        <w:spacing w:after="0" w:line="240" w:lineRule="auto"/>
        <w:jc w:val="both"/>
        <w:rPr>
          <w:sz w:val="20"/>
          <w:szCs w:val="20"/>
        </w:rPr>
      </w:pPr>
      <w:r w:rsidRPr="00B24AF4">
        <w:rPr>
          <w:color w:val="000000"/>
          <w:sz w:val="20"/>
          <w:szCs w:val="20"/>
        </w:rPr>
        <w:t xml:space="preserve">Descripción Tabla 5. </w:t>
      </w:r>
      <w:r w:rsidRPr="00B24AF4">
        <w:rPr>
          <w:sz w:val="20"/>
          <w:szCs w:val="20"/>
        </w:rPr>
        <w:t>Análisis del modelo estructural (prueba de hipótesis)</w:t>
      </w:r>
      <w:r w:rsidR="00563AD9">
        <w:rPr>
          <w:sz w:val="20"/>
          <w:szCs w:val="20"/>
        </w:rPr>
        <w:t>.</w:t>
      </w:r>
    </w:p>
    <w:p w14:paraId="481737BD" w14:textId="54B8F974" w:rsidR="00B24AF4" w:rsidRPr="00B24AF4" w:rsidRDefault="00B24AF4" w:rsidP="00B24AF4">
      <w:pPr>
        <w:widowControl w:val="0"/>
        <w:pBdr>
          <w:top w:val="nil"/>
          <w:left w:val="nil"/>
          <w:bottom w:val="nil"/>
          <w:right w:val="nil"/>
          <w:between w:val="nil"/>
        </w:pBdr>
        <w:spacing w:after="0" w:line="240" w:lineRule="auto"/>
        <w:jc w:val="both"/>
        <w:rPr>
          <w:color w:val="000000"/>
          <w:sz w:val="20"/>
          <w:szCs w:val="20"/>
        </w:rPr>
      </w:pPr>
    </w:p>
    <w:p w14:paraId="57BE7B61" w14:textId="570C5136" w:rsidR="00B24AF4" w:rsidRDefault="00B24AF4" w:rsidP="00B24AF4">
      <w:pPr>
        <w:widowControl w:val="0"/>
        <w:pBdr>
          <w:top w:val="nil"/>
          <w:left w:val="nil"/>
          <w:bottom w:val="nil"/>
          <w:right w:val="nil"/>
          <w:between w:val="nil"/>
        </w:pBdr>
        <w:spacing w:after="0" w:line="240" w:lineRule="auto"/>
        <w:jc w:val="both"/>
        <w:rPr>
          <w:color w:val="000000"/>
          <w:sz w:val="20"/>
          <w:szCs w:val="20"/>
        </w:rPr>
      </w:pPr>
      <w:r w:rsidRPr="00B24AF4">
        <w:rPr>
          <w:color w:val="000000"/>
          <w:sz w:val="20"/>
          <w:szCs w:val="20"/>
        </w:rPr>
        <w:t xml:space="preserve">Descripción. A continuación un cuadro de doble entrada, de seis columnas y </w:t>
      </w:r>
      <w:r>
        <w:rPr>
          <w:color w:val="000000"/>
          <w:sz w:val="20"/>
          <w:szCs w:val="20"/>
        </w:rPr>
        <w:t>cinco</w:t>
      </w:r>
      <w:r w:rsidRPr="00B24AF4">
        <w:rPr>
          <w:color w:val="000000"/>
          <w:sz w:val="20"/>
          <w:szCs w:val="20"/>
        </w:rPr>
        <w:t xml:space="preserve"> filas, en donde se ponen en relación diversos conceptos, siendo en la primera fila</w:t>
      </w:r>
      <w:r>
        <w:rPr>
          <w:color w:val="000000"/>
          <w:sz w:val="20"/>
          <w:szCs w:val="20"/>
        </w:rPr>
        <w:t xml:space="preserve"> los conceptos de Influencias, Coeficientes </w:t>
      </w:r>
      <w:proofErr w:type="spellStart"/>
      <w:r>
        <w:rPr>
          <w:color w:val="000000"/>
          <w:sz w:val="20"/>
          <w:szCs w:val="20"/>
        </w:rPr>
        <w:t>path</w:t>
      </w:r>
      <w:proofErr w:type="spellEnd"/>
      <w:r>
        <w:rPr>
          <w:color w:val="000000"/>
          <w:sz w:val="20"/>
          <w:szCs w:val="20"/>
        </w:rPr>
        <w:t xml:space="preserve"> (Estandarizados), el desvío estándar, el estadístico t Student y el p-valor. La primera columna contiene las distinta</w:t>
      </w:r>
      <w:r w:rsidRPr="00B24AF4">
        <w:rPr>
          <w:color w:val="000000"/>
          <w:sz w:val="20"/>
          <w:szCs w:val="20"/>
        </w:rPr>
        <w:t xml:space="preserve">s </w:t>
      </w:r>
      <w:r>
        <w:rPr>
          <w:color w:val="000000"/>
          <w:sz w:val="20"/>
          <w:szCs w:val="20"/>
        </w:rPr>
        <w:t>Hipótesis: H1, H2, H3 y H4</w:t>
      </w:r>
      <w:r w:rsidRPr="00B24AF4">
        <w:rPr>
          <w:color w:val="000000"/>
          <w:sz w:val="20"/>
          <w:szCs w:val="20"/>
        </w:rPr>
        <w:t xml:space="preserve">.  </w:t>
      </w:r>
    </w:p>
    <w:p w14:paraId="3733C95F" w14:textId="77777777" w:rsidR="00844A71" w:rsidRDefault="00844A71" w:rsidP="00844A71">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p>
    <w:p w14:paraId="3F04D387" w14:textId="77777777" w:rsidR="00844A71" w:rsidRPr="00B24AF4" w:rsidRDefault="00844A71" w:rsidP="00844A71">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B24AF4">
        <w:rPr>
          <w:rFonts w:asciiTheme="minorHAnsi" w:hAnsiTheme="minorHAnsi" w:cstheme="minorHAnsi"/>
          <w:color w:val="000000"/>
          <w:sz w:val="20"/>
          <w:szCs w:val="20"/>
        </w:rPr>
        <w:t>Las celdas de la primera fila y primera columna contienen los conceptos a relacionar.</w:t>
      </w:r>
    </w:p>
    <w:p w14:paraId="34E7E339" w14:textId="77777777" w:rsidR="00844A71" w:rsidRDefault="00844A71" w:rsidP="00B24AF4">
      <w:pPr>
        <w:widowControl w:val="0"/>
        <w:pBdr>
          <w:top w:val="nil"/>
          <w:left w:val="nil"/>
          <w:bottom w:val="nil"/>
          <w:right w:val="nil"/>
          <w:between w:val="nil"/>
        </w:pBdr>
        <w:spacing w:after="0" w:line="240" w:lineRule="auto"/>
        <w:jc w:val="both"/>
        <w:rPr>
          <w:color w:val="000000"/>
          <w:sz w:val="20"/>
          <w:szCs w:val="20"/>
        </w:rPr>
      </w:pPr>
    </w:p>
    <w:p w14:paraId="37AE26DA" w14:textId="1774DE43" w:rsidR="00B24AF4" w:rsidRPr="00844A71" w:rsidRDefault="00B24AF4" w:rsidP="00844A71">
      <w:pPr>
        <w:pStyle w:val="Prrafodelista"/>
        <w:numPr>
          <w:ilvl w:val="0"/>
          <w:numId w:val="5"/>
        </w:numPr>
        <w:pBdr>
          <w:top w:val="nil"/>
          <w:left w:val="nil"/>
          <w:bottom w:val="nil"/>
          <w:right w:val="nil"/>
          <w:between w:val="nil"/>
        </w:pBdr>
        <w:jc w:val="both"/>
        <w:rPr>
          <w:rFonts w:asciiTheme="minorHAnsi" w:hAnsiTheme="minorHAnsi" w:cstheme="minorHAnsi"/>
          <w:color w:val="000000"/>
          <w:sz w:val="20"/>
          <w:szCs w:val="20"/>
        </w:rPr>
      </w:pPr>
      <w:r w:rsidRPr="00844A71">
        <w:rPr>
          <w:rFonts w:asciiTheme="minorHAnsi" w:hAnsiTheme="minorHAnsi" w:cstheme="minorHAnsi"/>
          <w:color w:val="000000"/>
          <w:sz w:val="20"/>
          <w:szCs w:val="20"/>
        </w:rPr>
        <w:t>Hipótesis H1</w:t>
      </w:r>
    </w:p>
    <w:p w14:paraId="1A0508A8" w14:textId="64BC4710" w:rsidR="00B24AF4" w:rsidRPr="00844A71" w:rsidRDefault="00844A71"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844A71">
        <w:rPr>
          <w:rFonts w:asciiTheme="minorHAnsi" w:hAnsiTheme="minorHAnsi" w:cstheme="minorHAnsi"/>
          <w:color w:val="000000"/>
          <w:sz w:val="20"/>
          <w:szCs w:val="20"/>
        </w:rPr>
        <w:t xml:space="preserve">Influencias </w:t>
      </w:r>
      <w:r w:rsidR="00B24AF4" w:rsidRPr="00844A71">
        <w:rPr>
          <w:rFonts w:asciiTheme="minorHAnsi" w:hAnsiTheme="minorHAnsi" w:cstheme="minorHAnsi"/>
          <w:color w:val="000000"/>
          <w:sz w:val="20"/>
          <w:szCs w:val="20"/>
        </w:rPr>
        <w:t>Servicio =&gt; Lealtad</w:t>
      </w:r>
    </w:p>
    <w:p w14:paraId="59737608" w14:textId="58DC391B" w:rsidR="00B24AF4" w:rsidRPr="00844A71" w:rsidRDefault="00844A71"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844A71">
        <w:rPr>
          <w:rFonts w:asciiTheme="minorHAnsi" w:hAnsiTheme="minorHAnsi" w:cstheme="minorHAnsi"/>
          <w:color w:val="000000"/>
          <w:sz w:val="20"/>
          <w:szCs w:val="20"/>
        </w:rPr>
        <w:t xml:space="preserve">Coeficientes </w:t>
      </w:r>
      <w:proofErr w:type="spellStart"/>
      <w:r w:rsidRPr="00844A71">
        <w:rPr>
          <w:rFonts w:asciiTheme="minorHAnsi" w:hAnsiTheme="minorHAnsi" w:cstheme="minorHAnsi"/>
          <w:color w:val="000000"/>
          <w:sz w:val="20"/>
          <w:szCs w:val="20"/>
        </w:rPr>
        <w:t>path</w:t>
      </w:r>
      <w:proofErr w:type="spellEnd"/>
      <w:r w:rsidRPr="00844A71">
        <w:rPr>
          <w:rFonts w:asciiTheme="minorHAnsi" w:hAnsiTheme="minorHAnsi" w:cstheme="minorHAnsi"/>
          <w:color w:val="000000"/>
          <w:sz w:val="20"/>
          <w:szCs w:val="20"/>
        </w:rPr>
        <w:t xml:space="preserve"> (Estandarizados) (β) </w:t>
      </w:r>
      <w:r w:rsidR="00B24AF4" w:rsidRPr="00844A71">
        <w:rPr>
          <w:rFonts w:asciiTheme="minorHAnsi" w:hAnsiTheme="minorHAnsi" w:cstheme="minorHAnsi"/>
          <w:color w:val="000000"/>
          <w:sz w:val="20"/>
          <w:szCs w:val="20"/>
        </w:rPr>
        <w:t>0,327</w:t>
      </w:r>
    </w:p>
    <w:p w14:paraId="53E2B832" w14:textId="01D18810" w:rsidR="00B24AF4" w:rsidRPr="00844A71" w:rsidRDefault="00844A71"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844A71">
        <w:rPr>
          <w:rFonts w:asciiTheme="minorHAnsi" w:hAnsiTheme="minorHAnsi" w:cstheme="minorHAnsi"/>
          <w:color w:val="000000"/>
          <w:sz w:val="20"/>
          <w:szCs w:val="20"/>
        </w:rPr>
        <w:t xml:space="preserve">Desviación estándar (DE) </w:t>
      </w:r>
      <w:r w:rsidR="00B24AF4" w:rsidRPr="00844A71">
        <w:rPr>
          <w:rFonts w:asciiTheme="minorHAnsi" w:hAnsiTheme="minorHAnsi" w:cstheme="minorHAnsi"/>
          <w:color w:val="000000"/>
          <w:sz w:val="20"/>
          <w:szCs w:val="20"/>
        </w:rPr>
        <w:t>0,053</w:t>
      </w:r>
    </w:p>
    <w:p w14:paraId="6FEBBF53" w14:textId="48CA2F5E" w:rsidR="00B24AF4" w:rsidRPr="00844A71" w:rsidRDefault="00844A71"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844A71">
        <w:rPr>
          <w:rFonts w:asciiTheme="minorHAnsi" w:hAnsiTheme="minorHAnsi" w:cstheme="minorHAnsi"/>
          <w:color w:val="000000"/>
          <w:sz w:val="20"/>
          <w:szCs w:val="20"/>
        </w:rPr>
        <w:t xml:space="preserve">Estadístico t Student  </w:t>
      </w:r>
      <w:r w:rsidR="00B24AF4" w:rsidRPr="00844A71">
        <w:rPr>
          <w:rFonts w:asciiTheme="minorHAnsi" w:hAnsiTheme="minorHAnsi" w:cstheme="minorHAnsi"/>
          <w:color w:val="000000"/>
          <w:sz w:val="20"/>
          <w:szCs w:val="20"/>
        </w:rPr>
        <w:t>6,189</w:t>
      </w:r>
    </w:p>
    <w:p w14:paraId="59A68EC7" w14:textId="423DC559" w:rsidR="00B24AF4" w:rsidRPr="00844A71" w:rsidRDefault="00844A71"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proofErr w:type="gramStart"/>
      <w:r w:rsidRPr="00844A71">
        <w:rPr>
          <w:rFonts w:asciiTheme="minorHAnsi" w:hAnsiTheme="minorHAnsi" w:cstheme="minorHAnsi"/>
          <w:color w:val="000000"/>
          <w:sz w:val="20"/>
          <w:szCs w:val="20"/>
        </w:rPr>
        <w:t>p-valor</w:t>
      </w:r>
      <w:proofErr w:type="gramEnd"/>
      <w:r w:rsidRPr="00844A71">
        <w:rPr>
          <w:rFonts w:asciiTheme="minorHAnsi" w:hAnsiTheme="minorHAnsi" w:cstheme="minorHAnsi"/>
          <w:color w:val="000000"/>
          <w:sz w:val="20"/>
          <w:szCs w:val="20"/>
        </w:rPr>
        <w:t xml:space="preserve"> </w:t>
      </w:r>
      <w:r w:rsidR="00B24AF4" w:rsidRPr="00844A71">
        <w:rPr>
          <w:rFonts w:asciiTheme="minorHAnsi" w:hAnsiTheme="minorHAnsi" w:cstheme="minorHAnsi"/>
          <w:color w:val="000000"/>
          <w:sz w:val="20"/>
          <w:szCs w:val="20"/>
        </w:rPr>
        <w:t>0.000***</w:t>
      </w:r>
    </w:p>
    <w:p w14:paraId="2FC91082" w14:textId="77777777" w:rsidR="00B24AF4" w:rsidRPr="00844A71" w:rsidRDefault="00B24AF4"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p>
    <w:p w14:paraId="7DE89C3F" w14:textId="613FC6C1" w:rsidR="00B24AF4" w:rsidRPr="00844A71" w:rsidRDefault="00B24AF4" w:rsidP="00844A71">
      <w:pPr>
        <w:pStyle w:val="Prrafodelista"/>
        <w:numPr>
          <w:ilvl w:val="0"/>
          <w:numId w:val="5"/>
        </w:numPr>
        <w:pBdr>
          <w:top w:val="nil"/>
          <w:left w:val="nil"/>
          <w:bottom w:val="nil"/>
          <w:right w:val="nil"/>
          <w:between w:val="nil"/>
        </w:pBdr>
        <w:jc w:val="both"/>
        <w:rPr>
          <w:rFonts w:asciiTheme="minorHAnsi" w:hAnsiTheme="minorHAnsi" w:cstheme="minorHAnsi"/>
          <w:color w:val="000000"/>
          <w:sz w:val="20"/>
          <w:szCs w:val="20"/>
        </w:rPr>
      </w:pPr>
      <w:r w:rsidRPr="00844A71">
        <w:rPr>
          <w:rFonts w:asciiTheme="minorHAnsi" w:hAnsiTheme="minorHAnsi" w:cstheme="minorHAnsi"/>
          <w:color w:val="000000"/>
          <w:sz w:val="20"/>
          <w:szCs w:val="20"/>
        </w:rPr>
        <w:t>Hipótesis H2</w:t>
      </w:r>
    </w:p>
    <w:p w14:paraId="38069E1A" w14:textId="35627D1F" w:rsidR="00B24AF4" w:rsidRPr="00844A71" w:rsidRDefault="00844A71"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844A71">
        <w:rPr>
          <w:rFonts w:asciiTheme="minorHAnsi" w:hAnsiTheme="minorHAnsi" w:cstheme="minorHAnsi"/>
          <w:color w:val="000000"/>
          <w:sz w:val="20"/>
          <w:szCs w:val="20"/>
        </w:rPr>
        <w:t xml:space="preserve">Influencias </w:t>
      </w:r>
      <w:r w:rsidR="00B24AF4" w:rsidRPr="00844A71">
        <w:rPr>
          <w:rFonts w:asciiTheme="minorHAnsi" w:hAnsiTheme="minorHAnsi" w:cstheme="minorHAnsi"/>
          <w:color w:val="000000"/>
          <w:sz w:val="20"/>
          <w:szCs w:val="20"/>
        </w:rPr>
        <w:t>Información =&gt; Lealtad</w:t>
      </w:r>
    </w:p>
    <w:p w14:paraId="372557BE" w14:textId="2D2E8459" w:rsidR="00B24AF4" w:rsidRPr="00844A71" w:rsidRDefault="00844A71"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844A71">
        <w:rPr>
          <w:rFonts w:asciiTheme="minorHAnsi" w:hAnsiTheme="minorHAnsi" w:cstheme="minorHAnsi"/>
          <w:color w:val="000000"/>
          <w:sz w:val="20"/>
          <w:szCs w:val="20"/>
        </w:rPr>
        <w:t xml:space="preserve">Coeficientes </w:t>
      </w:r>
      <w:proofErr w:type="spellStart"/>
      <w:r w:rsidRPr="00844A71">
        <w:rPr>
          <w:rFonts w:asciiTheme="minorHAnsi" w:hAnsiTheme="minorHAnsi" w:cstheme="minorHAnsi"/>
          <w:color w:val="000000"/>
          <w:sz w:val="20"/>
          <w:szCs w:val="20"/>
        </w:rPr>
        <w:t>path</w:t>
      </w:r>
      <w:proofErr w:type="spellEnd"/>
      <w:r w:rsidRPr="00844A71">
        <w:rPr>
          <w:rFonts w:asciiTheme="minorHAnsi" w:hAnsiTheme="minorHAnsi" w:cstheme="minorHAnsi"/>
          <w:color w:val="000000"/>
          <w:sz w:val="20"/>
          <w:szCs w:val="20"/>
        </w:rPr>
        <w:t xml:space="preserve"> (Estandarizados) (β) </w:t>
      </w:r>
      <w:r w:rsidR="00B24AF4" w:rsidRPr="00844A71">
        <w:rPr>
          <w:rFonts w:asciiTheme="minorHAnsi" w:hAnsiTheme="minorHAnsi" w:cstheme="minorHAnsi"/>
          <w:color w:val="000000"/>
          <w:sz w:val="20"/>
          <w:szCs w:val="20"/>
        </w:rPr>
        <w:t>0,273</w:t>
      </w:r>
    </w:p>
    <w:p w14:paraId="52338097" w14:textId="48F3E9F9" w:rsidR="00B24AF4" w:rsidRPr="00844A71" w:rsidRDefault="00844A71"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844A71">
        <w:rPr>
          <w:rFonts w:asciiTheme="minorHAnsi" w:hAnsiTheme="minorHAnsi" w:cstheme="minorHAnsi"/>
          <w:color w:val="000000"/>
          <w:sz w:val="20"/>
          <w:szCs w:val="20"/>
        </w:rPr>
        <w:t xml:space="preserve">Desviación estándar (DE) </w:t>
      </w:r>
      <w:r w:rsidR="00B24AF4" w:rsidRPr="00844A71">
        <w:rPr>
          <w:rFonts w:asciiTheme="minorHAnsi" w:hAnsiTheme="minorHAnsi" w:cstheme="minorHAnsi"/>
          <w:color w:val="000000"/>
          <w:sz w:val="20"/>
          <w:szCs w:val="20"/>
        </w:rPr>
        <w:t>0,051</w:t>
      </w:r>
    </w:p>
    <w:p w14:paraId="4DEC6898" w14:textId="722EEE77" w:rsidR="00B24AF4" w:rsidRPr="00844A71" w:rsidRDefault="00844A71"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844A71">
        <w:rPr>
          <w:rFonts w:asciiTheme="minorHAnsi" w:hAnsiTheme="minorHAnsi" w:cstheme="minorHAnsi"/>
          <w:color w:val="000000"/>
          <w:sz w:val="20"/>
          <w:szCs w:val="20"/>
        </w:rPr>
        <w:t xml:space="preserve">Estadístico t Student  </w:t>
      </w:r>
      <w:r w:rsidR="00B24AF4" w:rsidRPr="00844A71">
        <w:rPr>
          <w:rFonts w:asciiTheme="minorHAnsi" w:hAnsiTheme="minorHAnsi" w:cstheme="minorHAnsi"/>
          <w:color w:val="000000"/>
          <w:sz w:val="20"/>
          <w:szCs w:val="20"/>
        </w:rPr>
        <w:t>5,297</w:t>
      </w:r>
    </w:p>
    <w:p w14:paraId="29EA3BCE" w14:textId="302C5212" w:rsidR="00B24AF4" w:rsidRPr="00844A71" w:rsidRDefault="00844A71"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proofErr w:type="gramStart"/>
      <w:r w:rsidRPr="00844A71">
        <w:rPr>
          <w:rFonts w:asciiTheme="minorHAnsi" w:hAnsiTheme="minorHAnsi" w:cstheme="minorHAnsi"/>
          <w:color w:val="000000"/>
          <w:sz w:val="20"/>
          <w:szCs w:val="20"/>
        </w:rPr>
        <w:t>p-valor</w:t>
      </w:r>
      <w:proofErr w:type="gramEnd"/>
      <w:r w:rsidRPr="00844A71">
        <w:rPr>
          <w:rFonts w:asciiTheme="minorHAnsi" w:hAnsiTheme="minorHAnsi" w:cstheme="minorHAnsi"/>
          <w:color w:val="000000"/>
          <w:sz w:val="20"/>
          <w:szCs w:val="20"/>
        </w:rPr>
        <w:t xml:space="preserve"> </w:t>
      </w:r>
      <w:r w:rsidR="00B24AF4" w:rsidRPr="00844A71">
        <w:rPr>
          <w:rFonts w:asciiTheme="minorHAnsi" w:hAnsiTheme="minorHAnsi" w:cstheme="minorHAnsi"/>
          <w:color w:val="000000"/>
          <w:sz w:val="20"/>
          <w:szCs w:val="20"/>
        </w:rPr>
        <w:t>0.000***</w:t>
      </w:r>
    </w:p>
    <w:p w14:paraId="37009B75" w14:textId="77777777" w:rsidR="00B24AF4" w:rsidRPr="00844A71" w:rsidRDefault="00B24AF4"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p>
    <w:p w14:paraId="2F231EF9" w14:textId="008AA62D" w:rsidR="00B24AF4" w:rsidRPr="00844A71" w:rsidRDefault="00B24AF4" w:rsidP="00844A71">
      <w:pPr>
        <w:pStyle w:val="Prrafodelista"/>
        <w:numPr>
          <w:ilvl w:val="0"/>
          <w:numId w:val="5"/>
        </w:numPr>
        <w:pBdr>
          <w:top w:val="nil"/>
          <w:left w:val="nil"/>
          <w:bottom w:val="nil"/>
          <w:right w:val="nil"/>
          <w:between w:val="nil"/>
        </w:pBdr>
        <w:jc w:val="both"/>
        <w:rPr>
          <w:rFonts w:asciiTheme="minorHAnsi" w:hAnsiTheme="minorHAnsi" w:cstheme="minorHAnsi"/>
          <w:color w:val="000000"/>
          <w:sz w:val="20"/>
          <w:szCs w:val="20"/>
        </w:rPr>
      </w:pPr>
      <w:r w:rsidRPr="00844A71">
        <w:rPr>
          <w:rFonts w:asciiTheme="minorHAnsi" w:hAnsiTheme="minorHAnsi" w:cstheme="minorHAnsi"/>
          <w:color w:val="000000"/>
          <w:sz w:val="20"/>
          <w:szCs w:val="20"/>
        </w:rPr>
        <w:t>Hipótesis H3</w:t>
      </w:r>
    </w:p>
    <w:p w14:paraId="3A6D124B" w14:textId="66EEC57D" w:rsidR="00B24AF4" w:rsidRPr="00844A71" w:rsidRDefault="00844A71"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844A71">
        <w:rPr>
          <w:rFonts w:asciiTheme="minorHAnsi" w:hAnsiTheme="minorHAnsi" w:cstheme="minorHAnsi"/>
          <w:color w:val="000000"/>
          <w:sz w:val="20"/>
          <w:szCs w:val="20"/>
        </w:rPr>
        <w:t xml:space="preserve">Influencias </w:t>
      </w:r>
      <w:r w:rsidR="00B24AF4" w:rsidRPr="00844A71">
        <w:rPr>
          <w:rFonts w:asciiTheme="minorHAnsi" w:hAnsiTheme="minorHAnsi" w:cstheme="minorHAnsi"/>
          <w:color w:val="000000"/>
          <w:sz w:val="20"/>
          <w:szCs w:val="20"/>
        </w:rPr>
        <w:t>Trato =&gt; Lealtad</w:t>
      </w:r>
    </w:p>
    <w:p w14:paraId="48C78663" w14:textId="2F56A97E" w:rsidR="00B24AF4" w:rsidRPr="00844A71" w:rsidRDefault="00844A71"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844A71">
        <w:rPr>
          <w:rFonts w:asciiTheme="minorHAnsi" w:hAnsiTheme="minorHAnsi" w:cstheme="minorHAnsi"/>
          <w:color w:val="000000"/>
          <w:sz w:val="20"/>
          <w:szCs w:val="20"/>
        </w:rPr>
        <w:t xml:space="preserve">Coeficientes </w:t>
      </w:r>
      <w:proofErr w:type="spellStart"/>
      <w:r w:rsidRPr="00844A71">
        <w:rPr>
          <w:rFonts w:asciiTheme="minorHAnsi" w:hAnsiTheme="minorHAnsi" w:cstheme="minorHAnsi"/>
          <w:color w:val="000000"/>
          <w:sz w:val="20"/>
          <w:szCs w:val="20"/>
        </w:rPr>
        <w:t>path</w:t>
      </w:r>
      <w:proofErr w:type="spellEnd"/>
      <w:r w:rsidRPr="00844A71">
        <w:rPr>
          <w:rFonts w:asciiTheme="minorHAnsi" w:hAnsiTheme="minorHAnsi" w:cstheme="minorHAnsi"/>
          <w:color w:val="000000"/>
          <w:sz w:val="20"/>
          <w:szCs w:val="20"/>
        </w:rPr>
        <w:t xml:space="preserve"> (Estandarizados) (β) </w:t>
      </w:r>
      <w:r w:rsidR="00B24AF4" w:rsidRPr="00844A71">
        <w:rPr>
          <w:rFonts w:asciiTheme="minorHAnsi" w:hAnsiTheme="minorHAnsi" w:cstheme="minorHAnsi"/>
          <w:color w:val="000000"/>
          <w:sz w:val="20"/>
          <w:szCs w:val="20"/>
        </w:rPr>
        <w:t>0,245</w:t>
      </w:r>
    </w:p>
    <w:p w14:paraId="1E68CAD1" w14:textId="01B13AC3" w:rsidR="00B24AF4" w:rsidRPr="00844A71" w:rsidRDefault="00844A71"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844A71">
        <w:rPr>
          <w:rFonts w:asciiTheme="minorHAnsi" w:hAnsiTheme="minorHAnsi" w:cstheme="minorHAnsi"/>
          <w:color w:val="000000"/>
          <w:sz w:val="20"/>
          <w:szCs w:val="20"/>
        </w:rPr>
        <w:t xml:space="preserve">Desviación estándar (DE) </w:t>
      </w:r>
      <w:r w:rsidR="00B24AF4" w:rsidRPr="00844A71">
        <w:rPr>
          <w:rFonts w:asciiTheme="minorHAnsi" w:hAnsiTheme="minorHAnsi" w:cstheme="minorHAnsi"/>
          <w:color w:val="000000"/>
          <w:sz w:val="20"/>
          <w:szCs w:val="20"/>
        </w:rPr>
        <w:t>0,056</w:t>
      </w:r>
    </w:p>
    <w:p w14:paraId="1DF2C0B9" w14:textId="070759DF" w:rsidR="00B24AF4" w:rsidRPr="00844A71" w:rsidRDefault="00844A71"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844A71">
        <w:rPr>
          <w:rFonts w:asciiTheme="minorHAnsi" w:hAnsiTheme="minorHAnsi" w:cstheme="minorHAnsi"/>
          <w:color w:val="000000"/>
          <w:sz w:val="20"/>
          <w:szCs w:val="20"/>
        </w:rPr>
        <w:t xml:space="preserve">Estadístico t Student  </w:t>
      </w:r>
      <w:r w:rsidR="00B24AF4" w:rsidRPr="00844A71">
        <w:rPr>
          <w:rFonts w:asciiTheme="minorHAnsi" w:hAnsiTheme="minorHAnsi" w:cstheme="minorHAnsi"/>
          <w:color w:val="000000"/>
          <w:sz w:val="20"/>
          <w:szCs w:val="20"/>
        </w:rPr>
        <w:t>4,378</w:t>
      </w:r>
    </w:p>
    <w:p w14:paraId="2D589895" w14:textId="727FF10F" w:rsidR="00B24AF4" w:rsidRPr="00844A71" w:rsidRDefault="00844A71"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proofErr w:type="gramStart"/>
      <w:r w:rsidRPr="00844A71">
        <w:rPr>
          <w:rFonts w:asciiTheme="minorHAnsi" w:hAnsiTheme="minorHAnsi" w:cstheme="minorHAnsi"/>
          <w:color w:val="000000"/>
          <w:sz w:val="20"/>
          <w:szCs w:val="20"/>
        </w:rPr>
        <w:t>p-valor</w:t>
      </w:r>
      <w:proofErr w:type="gramEnd"/>
      <w:r w:rsidRPr="00844A71">
        <w:rPr>
          <w:rFonts w:asciiTheme="minorHAnsi" w:hAnsiTheme="minorHAnsi" w:cstheme="minorHAnsi"/>
          <w:color w:val="000000"/>
          <w:sz w:val="20"/>
          <w:szCs w:val="20"/>
        </w:rPr>
        <w:t xml:space="preserve"> </w:t>
      </w:r>
      <w:r w:rsidR="00B24AF4" w:rsidRPr="00844A71">
        <w:rPr>
          <w:rFonts w:asciiTheme="minorHAnsi" w:hAnsiTheme="minorHAnsi" w:cstheme="minorHAnsi"/>
          <w:color w:val="000000"/>
          <w:sz w:val="20"/>
          <w:szCs w:val="20"/>
        </w:rPr>
        <w:t>0.000***</w:t>
      </w:r>
    </w:p>
    <w:p w14:paraId="5E3A36F8" w14:textId="77777777" w:rsidR="00B24AF4" w:rsidRPr="00844A71" w:rsidRDefault="00B24AF4"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p>
    <w:p w14:paraId="40C47F97" w14:textId="43005441" w:rsidR="00B24AF4" w:rsidRPr="00844A71" w:rsidRDefault="00B24AF4" w:rsidP="00844A71">
      <w:pPr>
        <w:pStyle w:val="Prrafodelista"/>
        <w:numPr>
          <w:ilvl w:val="0"/>
          <w:numId w:val="5"/>
        </w:numPr>
        <w:pBdr>
          <w:top w:val="nil"/>
          <w:left w:val="nil"/>
          <w:bottom w:val="nil"/>
          <w:right w:val="nil"/>
          <w:between w:val="nil"/>
        </w:pBdr>
        <w:jc w:val="both"/>
        <w:rPr>
          <w:rFonts w:asciiTheme="minorHAnsi" w:hAnsiTheme="minorHAnsi" w:cstheme="minorHAnsi"/>
          <w:color w:val="000000"/>
          <w:sz w:val="20"/>
          <w:szCs w:val="20"/>
        </w:rPr>
      </w:pPr>
      <w:r w:rsidRPr="00844A71">
        <w:rPr>
          <w:rFonts w:asciiTheme="minorHAnsi" w:hAnsiTheme="minorHAnsi" w:cstheme="minorHAnsi"/>
          <w:color w:val="000000"/>
          <w:sz w:val="20"/>
          <w:szCs w:val="20"/>
        </w:rPr>
        <w:t>Hipótesis H4</w:t>
      </w:r>
    </w:p>
    <w:p w14:paraId="58C1077E" w14:textId="0AC51E06" w:rsidR="00844A71" w:rsidRPr="00844A71" w:rsidRDefault="00844A71"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844A71">
        <w:rPr>
          <w:rFonts w:asciiTheme="minorHAnsi" w:hAnsiTheme="minorHAnsi" w:cstheme="minorHAnsi"/>
          <w:color w:val="000000"/>
          <w:sz w:val="20"/>
          <w:szCs w:val="20"/>
        </w:rPr>
        <w:t xml:space="preserve">Influencias </w:t>
      </w:r>
      <w:r w:rsidR="00B24AF4" w:rsidRPr="00844A71">
        <w:rPr>
          <w:rFonts w:asciiTheme="minorHAnsi" w:hAnsiTheme="minorHAnsi" w:cstheme="minorHAnsi"/>
          <w:color w:val="000000"/>
          <w:sz w:val="20"/>
          <w:szCs w:val="20"/>
        </w:rPr>
        <w:t>Tangibilidad =&gt; Lealtad</w:t>
      </w:r>
    </w:p>
    <w:p w14:paraId="48800EA0" w14:textId="575ECC2F" w:rsidR="00844A71" w:rsidRPr="00844A71" w:rsidRDefault="00844A71"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844A71">
        <w:rPr>
          <w:rFonts w:asciiTheme="minorHAnsi" w:hAnsiTheme="minorHAnsi" w:cstheme="minorHAnsi"/>
          <w:color w:val="000000"/>
          <w:sz w:val="20"/>
          <w:szCs w:val="20"/>
        </w:rPr>
        <w:t xml:space="preserve">Coeficientes </w:t>
      </w:r>
      <w:proofErr w:type="spellStart"/>
      <w:r w:rsidRPr="00844A71">
        <w:rPr>
          <w:rFonts w:asciiTheme="minorHAnsi" w:hAnsiTheme="minorHAnsi" w:cstheme="minorHAnsi"/>
          <w:color w:val="000000"/>
          <w:sz w:val="20"/>
          <w:szCs w:val="20"/>
        </w:rPr>
        <w:t>path</w:t>
      </w:r>
      <w:proofErr w:type="spellEnd"/>
      <w:r w:rsidRPr="00844A71">
        <w:rPr>
          <w:rFonts w:asciiTheme="minorHAnsi" w:hAnsiTheme="minorHAnsi" w:cstheme="minorHAnsi"/>
          <w:color w:val="000000"/>
          <w:sz w:val="20"/>
          <w:szCs w:val="20"/>
        </w:rPr>
        <w:t xml:space="preserve"> (Estandarizados) (β) </w:t>
      </w:r>
      <w:r w:rsidR="00B24AF4" w:rsidRPr="00844A71">
        <w:rPr>
          <w:rFonts w:asciiTheme="minorHAnsi" w:hAnsiTheme="minorHAnsi" w:cstheme="minorHAnsi"/>
          <w:color w:val="000000"/>
          <w:sz w:val="20"/>
          <w:szCs w:val="20"/>
        </w:rPr>
        <w:t>0,096</w:t>
      </w:r>
    </w:p>
    <w:p w14:paraId="5B6D739B" w14:textId="3B4F9104" w:rsidR="00844A71" w:rsidRPr="00844A71" w:rsidRDefault="00844A71"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844A71">
        <w:rPr>
          <w:rFonts w:asciiTheme="minorHAnsi" w:hAnsiTheme="minorHAnsi" w:cstheme="minorHAnsi"/>
          <w:color w:val="000000"/>
          <w:sz w:val="20"/>
          <w:szCs w:val="20"/>
        </w:rPr>
        <w:t xml:space="preserve">Desviación estándar (DE) </w:t>
      </w:r>
      <w:r w:rsidR="00B24AF4" w:rsidRPr="00844A71">
        <w:rPr>
          <w:rFonts w:asciiTheme="minorHAnsi" w:hAnsiTheme="minorHAnsi" w:cstheme="minorHAnsi"/>
          <w:color w:val="000000"/>
          <w:sz w:val="20"/>
          <w:szCs w:val="20"/>
        </w:rPr>
        <w:t>0,043</w:t>
      </w:r>
    </w:p>
    <w:p w14:paraId="04BE48CB" w14:textId="148B7397" w:rsidR="00844A71" w:rsidRPr="00844A71" w:rsidRDefault="00844A71"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844A71">
        <w:rPr>
          <w:rFonts w:asciiTheme="minorHAnsi" w:hAnsiTheme="minorHAnsi" w:cstheme="minorHAnsi"/>
          <w:color w:val="000000"/>
          <w:sz w:val="20"/>
          <w:szCs w:val="20"/>
        </w:rPr>
        <w:t xml:space="preserve">Estadístico t Student  </w:t>
      </w:r>
      <w:r w:rsidR="00B24AF4" w:rsidRPr="00844A71">
        <w:rPr>
          <w:rFonts w:asciiTheme="minorHAnsi" w:hAnsiTheme="minorHAnsi" w:cstheme="minorHAnsi"/>
          <w:color w:val="000000"/>
          <w:sz w:val="20"/>
          <w:szCs w:val="20"/>
        </w:rPr>
        <w:t>2,231</w:t>
      </w:r>
    </w:p>
    <w:p w14:paraId="317BF876" w14:textId="40518DCF" w:rsidR="00897F32" w:rsidRPr="00897F32" w:rsidRDefault="00844A71" w:rsidP="00897F32">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897F32">
        <w:rPr>
          <w:rFonts w:asciiTheme="minorHAnsi" w:hAnsiTheme="minorHAnsi" w:cstheme="minorHAnsi"/>
          <w:color w:val="000000"/>
          <w:sz w:val="20"/>
          <w:szCs w:val="20"/>
        </w:rPr>
        <w:t xml:space="preserve">p-valor </w:t>
      </w:r>
      <w:r w:rsidR="00B24AF4" w:rsidRPr="00897F32">
        <w:rPr>
          <w:rFonts w:asciiTheme="minorHAnsi" w:hAnsiTheme="minorHAnsi" w:cstheme="minorHAnsi"/>
          <w:color w:val="000000"/>
          <w:sz w:val="20"/>
          <w:szCs w:val="20"/>
        </w:rPr>
        <w:t>0.026*</w:t>
      </w:r>
      <w:r w:rsidR="00897F32" w:rsidRPr="00897F32">
        <w:rPr>
          <w:rFonts w:asciiTheme="minorHAnsi" w:hAnsiTheme="minorHAnsi" w:cstheme="minorHAnsi"/>
          <w:color w:val="000000"/>
          <w:sz w:val="20"/>
          <w:szCs w:val="20"/>
        </w:rPr>
        <w:t xml:space="preserve">. </w:t>
      </w:r>
      <w:r w:rsidR="00897F32" w:rsidRPr="00897F32">
        <w:rPr>
          <w:rFonts w:asciiTheme="minorHAnsi" w:hAnsiTheme="minorHAnsi" w:cstheme="minorHAnsi"/>
          <w:color w:val="000000"/>
          <w:sz w:val="20"/>
          <w:szCs w:val="20"/>
        </w:rPr>
        <w:t>Nivel de significancia donde, * p &lt;0.05, ** p &lt;0.01, *** p &lt;0.001</w:t>
      </w:r>
      <w:r w:rsidR="00897F32">
        <w:rPr>
          <w:rFonts w:asciiTheme="minorHAnsi" w:hAnsiTheme="minorHAnsi" w:cstheme="minorHAnsi"/>
          <w:color w:val="000000"/>
          <w:sz w:val="20"/>
          <w:szCs w:val="20"/>
        </w:rPr>
        <w:t xml:space="preserve">. </w:t>
      </w:r>
      <w:r w:rsidR="00897F32" w:rsidRPr="00897F32">
        <w:rPr>
          <w:rFonts w:asciiTheme="minorHAnsi" w:hAnsiTheme="minorHAnsi" w:cstheme="minorHAnsi"/>
          <w:color w:val="000000"/>
          <w:sz w:val="20"/>
          <w:szCs w:val="20"/>
        </w:rPr>
        <w:t>Elaboración propia según Smart PLS</w:t>
      </w:r>
      <w:r w:rsidR="00897F32">
        <w:rPr>
          <w:rFonts w:asciiTheme="minorHAnsi" w:hAnsiTheme="minorHAnsi" w:cstheme="minorHAnsi"/>
          <w:color w:val="000000"/>
          <w:sz w:val="20"/>
          <w:szCs w:val="20"/>
        </w:rPr>
        <w:t>. Fin de Descripción Tabla 5. Vuelva al texto.</w:t>
      </w:r>
    </w:p>
    <w:p w14:paraId="4D5FA7BC" w14:textId="05FDDE5E" w:rsidR="00B24AF4" w:rsidRPr="00897F32" w:rsidRDefault="00B24AF4" w:rsidP="00B24AF4">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p>
    <w:p w14:paraId="6444B44C" w14:textId="77777777" w:rsidR="00897F32" w:rsidRDefault="00897F32" w:rsidP="0089552B">
      <w:pPr>
        <w:widowControl w:val="0"/>
        <w:pBdr>
          <w:top w:val="nil"/>
          <w:left w:val="nil"/>
          <w:bottom w:val="nil"/>
          <w:right w:val="nil"/>
          <w:between w:val="nil"/>
        </w:pBdr>
        <w:spacing w:after="0" w:line="240" w:lineRule="auto"/>
        <w:jc w:val="both"/>
        <w:rPr>
          <w:b/>
          <w:color w:val="000000"/>
          <w:sz w:val="20"/>
          <w:szCs w:val="20"/>
        </w:rPr>
      </w:pPr>
      <w:bookmarkStart w:id="0" w:name="_GoBack"/>
      <w:bookmarkEnd w:id="0"/>
    </w:p>
    <w:p w14:paraId="70950706" w14:textId="7D91B9F5" w:rsidR="002316EB" w:rsidRDefault="00FA373F" w:rsidP="0089552B">
      <w:pPr>
        <w:widowControl w:val="0"/>
        <w:pBdr>
          <w:top w:val="nil"/>
          <w:left w:val="nil"/>
          <w:bottom w:val="nil"/>
          <w:right w:val="nil"/>
          <w:between w:val="nil"/>
        </w:pBdr>
        <w:spacing w:after="0" w:line="240" w:lineRule="auto"/>
        <w:jc w:val="both"/>
        <w:rPr>
          <w:b/>
          <w:color w:val="000000"/>
          <w:sz w:val="20"/>
          <w:szCs w:val="20"/>
        </w:rPr>
      </w:pPr>
      <w:r>
        <w:rPr>
          <w:b/>
          <w:color w:val="000000"/>
          <w:sz w:val="20"/>
          <w:szCs w:val="20"/>
        </w:rPr>
        <w:t>Conclusiones</w:t>
      </w:r>
      <w:r w:rsidR="003451F6">
        <w:rPr>
          <w:b/>
          <w:color w:val="000000"/>
          <w:sz w:val="20"/>
          <w:szCs w:val="20"/>
        </w:rPr>
        <w:t>.</w:t>
      </w:r>
      <w:r>
        <w:rPr>
          <w:b/>
          <w:color w:val="000000"/>
          <w:sz w:val="20"/>
          <w:szCs w:val="20"/>
        </w:rPr>
        <w:t xml:space="preserve"> </w:t>
      </w:r>
    </w:p>
    <w:p w14:paraId="203B7235" w14:textId="77777777" w:rsidR="002316EB" w:rsidRDefault="002316EB" w:rsidP="0089552B">
      <w:pPr>
        <w:widowControl w:val="0"/>
        <w:pBdr>
          <w:top w:val="nil"/>
          <w:left w:val="nil"/>
          <w:bottom w:val="nil"/>
          <w:right w:val="nil"/>
          <w:between w:val="nil"/>
        </w:pBdr>
        <w:spacing w:after="0" w:line="240" w:lineRule="auto"/>
        <w:jc w:val="both"/>
        <w:rPr>
          <w:b/>
          <w:color w:val="000000"/>
          <w:sz w:val="20"/>
          <w:szCs w:val="20"/>
        </w:rPr>
      </w:pPr>
    </w:p>
    <w:p w14:paraId="23992D01" w14:textId="33191027" w:rsidR="002316EB" w:rsidRDefault="00FA373F" w:rsidP="0089552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szCs w:val="20"/>
        </w:rPr>
      </w:pPr>
      <w:r>
        <w:rPr>
          <w:sz w:val="20"/>
          <w:szCs w:val="20"/>
        </w:rPr>
        <w:lastRenderedPageBreak/>
        <w:t>La calidad del servicio es considerada como un aspecto esencial para lograr el posicionamiento y reconocimiento en el sector financiero (Torres Fragoso y Luna Espinoza, 2017). Aunque existe un sinnúmero de investigaciones relacionadas con la calidad del servicio en el sector financiero (</w:t>
      </w:r>
      <w:proofErr w:type="spellStart"/>
      <w:r>
        <w:rPr>
          <w:sz w:val="20"/>
          <w:szCs w:val="20"/>
        </w:rPr>
        <w:t>Gunasekare</w:t>
      </w:r>
      <w:proofErr w:type="spellEnd"/>
      <w:r>
        <w:rPr>
          <w:sz w:val="20"/>
          <w:szCs w:val="20"/>
        </w:rPr>
        <w:t>, 2016), la mayoría de los realizados durante los últimos años muestran resultados relativamente limitados, debido a las deficiencias de los instrumentos utilizados (</w:t>
      </w:r>
      <w:proofErr w:type="spellStart"/>
      <w:r>
        <w:rPr>
          <w:sz w:val="20"/>
          <w:szCs w:val="20"/>
        </w:rPr>
        <w:t>Alexiadou</w:t>
      </w:r>
      <w:proofErr w:type="spellEnd"/>
      <w:r>
        <w:rPr>
          <w:sz w:val="20"/>
          <w:szCs w:val="20"/>
        </w:rPr>
        <w:t xml:space="preserve"> et al., 2017). De manera que existen esfuerzos para analizar y mejorar la calidad de servicio financiero de diferentes escenarios; por ejemplo, Marta Estrada et al. (2014) proponen un modelo para estudiar la relación entre la calidad de los servicios bancarios y la lealtad en usuarios adultos mayores; otro escenario son los servicios bancarios por internet o servicio en línea (</w:t>
      </w:r>
      <w:proofErr w:type="spellStart"/>
      <w:r>
        <w:rPr>
          <w:sz w:val="20"/>
          <w:szCs w:val="20"/>
        </w:rPr>
        <w:t>Kampakaki</w:t>
      </w:r>
      <w:proofErr w:type="spellEnd"/>
      <w:r>
        <w:rPr>
          <w:sz w:val="20"/>
          <w:szCs w:val="20"/>
        </w:rPr>
        <w:t xml:space="preserve"> y </w:t>
      </w:r>
      <w:proofErr w:type="spellStart"/>
      <w:r>
        <w:rPr>
          <w:sz w:val="20"/>
          <w:szCs w:val="20"/>
        </w:rPr>
        <w:t>Papathanasiou</w:t>
      </w:r>
      <w:proofErr w:type="spellEnd"/>
      <w:r>
        <w:rPr>
          <w:sz w:val="20"/>
          <w:szCs w:val="20"/>
        </w:rPr>
        <w:t xml:space="preserve">, 2016; </w:t>
      </w:r>
      <w:proofErr w:type="spellStart"/>
      <w:r>
        <w:rPr>
          <w:sz w:val="20"/>
          <w:szCs w:val="20"/>
        </w:rPr>
        <w:t>Tardivo</w:t>
      </w:r>
      <w:proofErr w:type="spellEnd"/>
      <w:r>
        <w:rPr>
          <w:sz w:val="20"/>
          <w:szCs w:val="20"/>
        </w:rPr>
        <w:t xml:space="preserve"> et al., 2014). Sin embargo, son muy pocos quienes han utilizado el modelo de ecuaciones estructurales para esta rama de la administración (</w:t>
      </w:r>
      <w:proofErr w:type="spellStart"/>
      <w:r>
        <w:rPr>
          <w:sz w:val="20"/>
          <w:szCs w:val="20"/>
        </w:rPr>
        <w:t>Monferrer</w:t>
      </w:r>
      <w:proofErr w:type="spellEnd"/>
      <w:r>
        <w:rPr>
          <w:sz w:val="20"/>
          <w:szCs w:val="20"/>
        </w:rPr>
        <w:t xml:space="preserve"> et al., 2019; Ramírez-Asís et al., 2020); de  allí radica la importancia del presente estudio.</w:t>
      </w:r>
    </w:p>
    <w:p w14:paraId="638D6DA0" w14:textId="77777777" w:rsidR="0089552B" w:rsidRDefault="0089552B" w:rsidP="0089552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szCs w:val="20"/>
        </w:rPr>
      </w:pPr>
    </w:p>
    <w:p w14:paraId="4660395C" w14:textId="43B37B93" w:rsidR="002316EB" w:rsidRDefault="00FA373F" w:rsidP="0089552B">
      <w:pPr>
        <w:spacing w:after="0" w:line="240" w:lineRule="auto"/>
        <w:ind w:firstLine="709"/>
        <w:jc w:val="both"/>
        <w:rPr>
          <w:sz w:val="20"/>
          <w:szCs w:val="20"/>
        </w:rPr>
      </w:pPr>
      <w:r>
        <w:rPr>
          <w:sz w:val="20"/>
          <w:szCs w:val="20"/>
        </w:rPr>
        <w:t>A pesar de existir aceptación del modelo SERVQUAL para medir la calidad del servicio (</w:t>
      </w:r>
      <w:proofErr w:type="spellStart"/>
      <w:r>
        <w:rPr>
          <w:sz w:val="20"/>
          <w:szCs w:val="20"/>
        </w:rPr>
        <w:t>Chachipanta</w:t>
      </w:r>
      <w:proofErr w:type="spellEnd"/>
      <w:r>
        <w:rPr>
          <w:sz w:val="20"/>
          <w:szCs w:val="20"/>
        </w:rPr>
        <w:t>, 2017), este también ha servido como base para realizar algunas modificaciones o adaptaciones para generar nuevas formas de medir la calidad del servicio en entornos específicos (González, 2015; Palomo Zurdo et al., 2010), de manera que ha sido adaptado como la escala PAKSERV donde se considera el impacto de los valores personales y las orientaciones de una cultura asiática, concentrados en las siguientes dimensiones: tangibilidad, fiabilidad, garantía, sinceridad, personalización, formalidad y capacidad de respuesta (cuenta con 24 ítems) (</w:t>
      </w:r>
      <w:proofErr w:type="spellStart"/>
      <w:r>
        <w:rPr>
          <w:sz w:val="20"/>
          <w:szCs w:val="20"/>
        </w:rPr>
        <w:t>Raajpoot</w:t>
      </w:r>
      <w:proofErr w:type="spellEnd"/>
      <w:r>
        <w:rPr>
          <w:sz w:val="20"/>
          <w:szCs w:val="20"/>
        </w:rPr>
        <w:t xml:space="preserve">, 2004). </w:t>
      </w:r>
    </w:p>
    <w:p w14:paraId="5798982F" w14:textId="77777777" w:rsidR="0089552B" w:rsidRDefault="0089552B" w:rsidP="0089552B">
      <w:pPr>
        <w:spacing w:after="0" w:line="240" w:lineRule="auto"/>
        <w:ind w:firstLine="709"/>
        <w:jc w:val="both"/>
        <w:rPr>
          <w:sz w:val="20"/>
          <w:szCs w:val="20"/>
        </w:rPr>
      </w:pPr>
    </w:p>
    <w:p w14:paraId="74854886" w14:textId="14131E7D" w:rsidR="002316EB" w:rsidRDefault="00FA373F" w:rsidP="0089552B">
      <w:pPr>
        <w:spacing w:after="0" w:line="240" w:lineRule="auto"/>
        <w:ind w:firstLine="708"/>
        <w:jc w:val="both"/>
        <w:rPr>
          <w:sz w:val="20"/>
          <w:szCs w:val="20"/>
        </w:rPr>
      </w:pPr>
      <w:r>
        <w:rPr>
          <w:sz w:val="20"/>
          <w:szCs w:val="20"/>
        </w:rPr>
        <w:t xml:space="preserve">Por otro lado, </w:t>
      </w:r>
      <w:proofErr w:type="spellStart"/>
      <w:r>
        <w:rPr>
          <w:sz w:val="20"/>
          <w:szCs w:val="20"/>
        </w:rPr>
        <w:t>Suarina</w:t>
      </w:r>
      <w:proofErr w:type="spellEnd"/>
      <w:r>
        <w:rPr>
          <w:sz w:val="20"/>
          <w:szCs w:val="20"/>
        </w:rPr>
        <w:t xml:space="preserve"> Canals (2002) realizó una adaptación de la escala SERVQUAL al ámbito financiero que se aplicó para medir la percepción de calidad de servicio desde el punto de vista de los clientes en las entidades financieras de Cataluña España (Cajas y Bancos). Propone una manera de reducir el cuestionario para facilitar, economizar y agilizar su aplicación a la medida de la calidad de las entidades financieras. Esta escala, que ha sido validada en el presente estudio, consta de cuatro dimensiones y 14 ítems. Los resultados revelaron que las cuatro dimensiones influyen significativamente en la lealtad de los clientes. Es decir, según los resultados, se confirma que el servicio tiene un efecto fuerte (β= </w:t>
      </w:r>
      <w:r>
        <w:rPr>
          <w:color w:val="000000"/>
          <w:sz w:val="20"/>
          <w:szCs w:val="20"/>
        </w:rPr>
        <w:t>0,327</w:t>
      </w:r>
      <w:r>
        <w:rPr>
          <w:sz w:val="20"/>
          <w:szCs w:val="20"/>
        </w:rPr>
        <w:t xml:space="preserve">) en la lealtad de los clientes de las cajas rurales. Además, la influencia de la información en la lealtad del cliente ha resultado ser moderada (β = 0,273). Del mismo modo, la influencia del trato del trabajador en la lealtad del cliente ha resultado ser moderada (β = 0,245). Por el contrario, la influencia de la tangibilidad en la lealtad del cliente ha resultado ser débil (β = 0,096). Estos resultados difieren de lo realizado por </w:t>
      </w:r>
      <w:proofErr w:type="spellStart"/>
      <w:r>
        <w:rPr>
          <w:sz w:val="20"/>
          <w:szCs w:val="20"/>
        </w:rPr>
        <w:t>Suarina</w:t>
      </w:r>
      <w:proofErr w:type="spellEnd"/>
      <w:r>
        <w:rPr>
          <w:sz w:val="20"/>
          <w:szCs w:val="20"/>
        </w:rPr>
        <w:t xml:space="preserve"> Canals, donde los principales factores fueron la información y el trato del trabajador. Probablemente esta realidad se deba a las características de los clientes de las cajas rurales, donde la mayor valoración está centrada en el servicio en sí y una menor valoración en los aspectos tangibles como las oficinas atractivas y el aspecto de los trabajadores de las cajas rurales peruanas.</w:t>
      </w:r>
    </w:p>
    <w:p w14:paraId="3C856BF7" w14:textId="77777777" w:rsidR="0089552B" w:rsidRDefault="0089552B" w:rsidP="0089552B">
      <w:pPr>
        <w:spacing w:after="0" w:line="240" w:lineRule="auto"/>
        <w:ind w:firstLine="708"/>
        <w:jc w:val="both"/>
        <w:rPr>
          <w:sz w:val="20"/>
          <w:szCs w:val="20"/>
        </w:rPr>
      </w:pPr>
    </w:p>
    <w:p w14:paraId="383C2F2C" w14:textId="77777777" w:rsidR="002316EB" w:rsidRDefault="00FA373F" w:rsidP="0089552B">
      <w:pPr>
        <w:spacing w:after="0" w:line="240" w:lineRule="auto"/>
        <w:ind w:firstLine="708"/>
        <w:jc w:val="both"/>
        <w:rPr>
          <w:sz w:val="20"/>
          <w:szCs w:val="20"/>
        </w:rPr>
      </w:pPr>
      <w:r>
        <w:rPr>
          <w:sz w:val="20"/>
          <w:szCs w:val="20"/>
        </w:rPr>
        <w:t>Se han realizado varios estudios para investigar la medición de la calidad del servicio en diferentes contextos (</w:t>
      </w:r>
      <w:proofErr w:type="spellStart"/>
      <w:r>
        <w:rPr>
          <w:sz w:val="20"/>
          <w:szCs w:val="20"/>
        </w:rPr>
        <w:t>Alexiadou</w:t>
      </w:r>
      <w:proofErr w:type="spellEnd"/>
      <w:r>
        <w:rPr>
          <w:sz w:val="20"/>
          <w:szCs w:val="20"/>
        </w:rPr>
        <w:t xml:space="preserve"> et al., 2017; González, 2015; Palomo Zurdo y </w:t>
      </w:r>
      <w:proofErr w:type="spellStart"/>
      <w:r>
        <w:rPr>
          <w:sz w:val="20"/>
          <w:szCs w:val="20"/>
        </w:rPr>
        <w:t>Sanchis</w:t>
      </w:r>
      <w:proofErr w:type="spellEnd"/>
      <w:r>
        <w:rPr>
          <w:sz w:val="20"/>
          <w:szCs w:val="20"/>
        </w:rPr>
        <w:t xml:space="preserve"> Palacio, 2010; </w:t>
      </w:r>
      <w:proofErr w:type="spellStart"/>
      <w:r>
        <w:rPr>
          <w:sz w:val="20"/>
          <w:szCs w:val="20"/>
        </w:rPr>
        <w:t>Yalley</w:t>
      </w:r>
      <w:proofErr w:type="spellEnd"/>
      <w:r>
        <w:rPr>
          <w:sz w:val="20"/>
          <w:szCs w:val="20"/>
        </w:rPr>
        <w:t xml:space="preserve"> y </w:t>
      </w:r>
      <w:proofErr w:type="spellStart"/>
      <w:r>
        <w:rPr>
          <w:sz w:val="20"/>
          <w:szCs w:val="20"/>
        </w:rPr>
        <w:t>Agyapong</w:t>
      </w:r>
      <w:proofErr w:type="spellEnd"/>
      <w:r>
        <w:rPr>
          <w:sz w:val="20"/>
          <w:szCs w:val="20"/>
        </w:rPr>
        <w:t xml:space="preserve">, 2017); también hay esfuerzo para predecir la lealtad de los clientes por diferentes métodos como lo realizaron Romero y </w:t>
      </w:r>
      <w:proofErr w:type="spellStart"/>
      <w:r>
        <w:rPr>
          <w:sz w:val="20"/>
          <w:szCs w:val="20"/>
        </w:rPr>
        <w:t>Babativa</w:t>
      </w:r>
      <w:proofErr w:type="spellEnd"/>
      <w:r>
        <w:rPr>
          <w:sz w:val="20"/>
          <w:szCs w:val="20"/>
        </w:rPr>
        <w:t xml:space="preserve"> (2016). El presente estudio valida el modelo teórico compuesto por el servicio, la información, el trato del trabajador y la tangibilidad que explican el 75% de variación de la lealtad de los clientes de las Cajas Rurales de Ahorro y Crédito. De manera que los resultados del estudio confirman el uso de la escala propuesta por </w:t>
      </w:r>
      <w:proofErr w:type="spellStart"/>
      <w:r>
        <w:rPr>
          <w:sz w:val="20"/>
          <w:szCs w:val="20"/>
        </w:rPr>
        <w:t>Suarina</w:t>
      </w:r>
      <w:proofErr w:type="spellEnd"/>
      <w:r>
        <w:rPr>
          <w:sz w:val="20"/>
          <w:szCs w:val="20"/>
        </w:rPr>
        <w:t xml:space="preserve"> Canals (2002) en la realidad de la cultura peruana, con la participación de clientes de zonas rurales. Las investigaciones futuras podrían ampliar el estudio con un enfoque de género como lo propone María Luisa Saavedra </w:t>
      </w:r>
      <w:proofErr w:type="spellStart"/>
      <w:r>
        <w:rPr>
          <w:sz w:val="20"/>
          <w:szCs w:val="20"/>
        </w:rPr>
        <w:t>Garcia</w:t>
      </w:r>
      <w:proofErr w:type="spellEnd"/>
      <w:r>
        <w:rPr>
          <w:sz w:val="20"/>
          <w:szCs w:val="20"/>
        </w:rPr>
        <w:t xml:space="preserve"> (2020) para investigar las posibles diferencias en el comportamiento de los clientes.</w:t>
      </w:r>
    </w:p>
    <w:p w14:paraId="77EA7370" w14:textId="77777777" w:rsidR="002316EB" w:rsidRDefault="002316EB" w:rsidP="0089552B">
      <w:pPr>
        <w:spacing w:after="0" w:line="240" w:lineRule="auto"/>
        <w:ind w:firstLine="708"/>
        <w:jc w:val="both"/>
        <w:rPr>
          <w:sz w:val="20"/>
          <w:szCs w:val="20"/>
        </w:rPr>
      </w:pPr>
    </w:p>
    <w:p w14:paraId="785B8253" w14:textId="77777777" w:rsidR="002316EB" w:rsidRDefault="002316EB" w:rsidP="0089552B">
      <w:pPr>
        <w:spacing w:after="0" w:line="240" w:lineRule="auto"/>
        <w:ind w:firstLine="708"/>
        <w:jc w:val="both"/>
        <w:rPr>
          <w:sz w:val="20"/>
          <w:szCs w:val="20"/>
        </w:rPr>
      </w:pPr>
    </w:p>
    <w:p w14:paraId="69A3A70E" w14:textId="5A97F20D" w:rsidR="002316EB" w:rsidRDefault="00FA373F" w:rsidP="0089552B">
      <w:pPr>
        <w:widowControl w:val="0"/>
        <w:pBdr>
          <w:top w:val="nil"/>
          <w:left w:val="nil"/>
          <w:bottom w:val="nil"/>
          <w:right w:val="nil"/>
          <w:between w:val="nil"/>
        </w:pBdr>
        <w:spacing w:after="0" w:line="240" w:lineRule="auto"/>
        <w:jc w:val="both"/>
        <w:rPr>
          <w:b/>
          <w:color w:val="000000"/>
          <w:sz w:val="20"/>
          <w:szCs w:val="20"/>
        </w:rPr>
      </w:pPr>
      <w:r>
        <w:rPr>
          <w:b/>
          <w:color w:val="000000"/>
          <w:sz w:val="20"/>
          <w:szCs w:val="20"/>
        </w:rPr>
        <w:t xml:space="preserve">Referencias </w:t>
      </w:r>
      <w:r w:rsidR="0089552B">
        <w:rPr>
          <w:b/>
          <w:color w:val="000000"/>
          <w:sz w:val="20"/>
          <w:szCs w:val="20"/>
        </w:rPr>
        <w:t>Bibliográficas</w:t>
      </w:r>
      <w:r w:rsidR="003451F6">
        <w:rPr>
          <w:b/>
          <w:color w:val="000000"/>
          <w:sz w:val="20"/>
          <w:szCs w:val="20"/>
        </w:rPr>
        <w:t>.</w:t>
      </w:r>
    </w:p>
    <w:p w14:paraId="464CBC7F" w14:textId="77777777" w:rsidR="002316EB" w:rsidRDefault="002316EB" w:rsidP="0089552B">
      <w:pPr>
        <w:widowControl w:val="0"/>
        <w:pBdr>
          <w:top w:val="nil"/>
          <w:left w:val="nil"/>
          <w:bottom w:val="nil"/>
          <w:right w:val="nil"/>
          <w:between w:val="nil"/>
        </w:pBdr>
        <w:spacing w:after="0" w:line="240" w:lineRule="auto"/>
        <w:jc w:val="both"/>
        <w:rPr>
          <w:b/>
          <w:color w:val="000000"/>
          <w:sz w:val="20"/>
          <w:szCs w:val="20"/>
        </w:rPr>
      </w:pPr>
    </w:p>
    <w:p w14:paraId="08E82A02" w14:textId="244BFE3C" w:rsidR="002316EB" w:rsidRDefault="00FA373F" w:rsidP="0089552B">
      <w:pPr>
        <w:spacing w:after="0" w:line="240" w:lineRule="auto"/>
        <w:ind w:left="709" w:hanging="709"/>
        <w:jc w:val="both"/>
        <w:rPr>
          <w:sz w:val="20"/>
          <w:szCs w:val="20"/>
        </w:rPr>
      </w:pPr>
      <w:r>
        <w:rPr>
          <w:sz w:val="20"/>
          <w:szCs w:val="20"/>
        </w:rPr>
        <w:t xml:space="preserve">Aguilar </w:t>
      </w:r>
      <w:proofErr w:type="spellStart"/>
      <w:r>
        <w:rPr>
          <w:sz w:val="20"/>
          <w:szCs w:val="20"/>
        </w:rPr>
        <w:t>Andía</w:t>
      </w:r>
      <w:proofErr w:type="spellEnd"/>
      <w:r>
        <w:rPr>
          <w:sz w:val="20"/>
          <w:szCs w:val="20"/>
        </w:rPr>
        <w:t xml:space="preserve">, G. (2016). </w:t>
      </w:r>
      <w:r>
        <w:rPr>
          <w:i/>
          <w:sz w:val="20"/>
          <w:szCs w:val="20"/>
        </w:rPr>
        <w:t>Competencia en el mercado de microcréditos peruano, una medición utilizando el Indicador de Boone</w:t>
      </w:r>
      <w:r>
        <w:rPr>
          <w:sz w:val="20"/>
          <w:szCs w:val="20"/>
        </w:rPr>
        <w:t xml:space="preserve"> (Documento de Trabajo Nº 417). Departamento de Economía, Pontificia Universidad Católica del Perú. </w:t>
      </w:r>
      <w:hyperlink r:id="rId21" w:history="1">
        <w:r w:rsidR="0089552B" w:rsidRPr="00604172">
          <w:rPr>
            <w:rStyle w:val="Hipervnculo"/>
            <w:sz w:val="20"/>
            <w:szCs w:val="20"/>
          </w:rPr>
          <w:t>http://files.pucp.edu.pe/departamento/economia/DDD417.pdf</w:t>
        </w:r>
      </w:hyperlink>
    </w:p>
    <w:p w14:paraId="7C4CA6E4" w14:textId="77777777" w:rsidR="0089552B" w:rsidRDefault="0089552B" w:rsidP="0089552B">
      <w:pPr>
        <w:spacing w:after="0" w:line="240" w:lineRule="auto"/>
        <w:ind w:left="709" w:hanging="709"/>
        <w:jc w:val="both"/>
        <w:rPr>
          <w:sz w:val="20"/>
          <w:szCs w:val="20"/>
        </w:rPr>
      </w:pPr>
    </w:p>
    <w:p w14:paraId="4DA04859" w14:textId="41801A87" w:rsidR="002316EB" w:rsidRDefault="00FA373F" w:rsidP="0089552B">
      <w:pPr>
        <w:spacing w:after="0" w:line="240" w:lineRule="auto"/>
        <w:ind w:left="709" w:hanging="709"/>
        <w:jc w:val="both"/>
        <w:rPr>
          <w:sz w:val="20"/>
          <w:szCs w:val="20"/>
          <w:lang w:val="en-US"/>
        </w:rPr>
      </w:pPr>
      <w:proofErr w:type="spellStart"/>
      <w:r w:rsidRPr="00B8669F">
        <w:rPr>
          <w:sz w:val="20"/>
          <w:szCs w:val="20"/>
          <w:lang w:val="en-US"/>
        </w:rPr>
        <w:t>Alexiadou</w:t>
      </w:r>
      <w:proofErr w:type="spellEnd"/>
      <w:r w:rsidRPr="00B8669F">
        <w:rPr>
          <w:sz w:val="20"/>
          <w:szCs w:val="20"/>
          <w:lang w:val="en-US"/>
        </w:rPr>
        <w:t xml:space="preserve">, C., </w:t>
      </w:r>
      <w:proofErr w:type="spellStart"/>
      <w:r w:rsidRPr="00B8669F">
        <w:rPr>
          <w:sz w:val="20"/>
          <w:szCs w:val="20"/>
          <w:lang w:val="en-US"/>
        </w:rPr>
        <w:t>Stylos</w:t>
      </w:r>
      <w:proofErr w:type="spellEnd"/>
      <w:r w:rsidRPr="00B8669F">
        <w:rPr>
          <w:sz w:val="20"/>
          <w:szCs w:val="20"/>
          <w:lang w:val="en-US"/>
        </w:rPr>
        <w:t xml:space="preserve">, N., </w:t>
      </w:r>
      <w:proofErr w:type="spellStart"/>
      <w:r w:rsidRPr="00B8669F">
        <w:rPr>
          <w:sz w:val="20"/>
          <w:szCs w:val="20"/>
          <w:lang w:val="en-US"/>
        </w:rPr>
        <w:t>Andronikidis</w:t>
      </w:r>
      <w:proofErr w:type="spellEnd"/>
      <w:r w:rsidRPr="00B8669F">
        <w:rPr>
          <w:sz w:val="20"/>
          <w:szCs w:val="20"/>
          <w:lang w:val="en-US"/>
        </w:rPr>
        <w:t xml:space="preserve">, A., </w:t>
      </w:r>
      <w:proofErr w:type="spellStart"/>
      <w:r w:rsidRPr="00B8669F">
        <w:rPr>
          <w:sz w:val="20"/>
          <w:szCs w:val="20"/>
          <w:lang w:val="en-US"/>
        </w:rPr>
        <w:t>Bellou</w:t>
      </w:r>
      <w:proofErr w:type="spellEnd"/>
      <w:r w:rsidRPr="00B8669F">
        <w:rPr>
          <w:sz w:val="20"/>
          <w:szCs w:val="20"/>
          <w:lang w:val="en-US"/>
        </w:rPr>
        <w:t xml:space="preserve">, V. y </w:t>
      </w:r>
      <w:proofErr w:type="spellStart"/>
      <w:r w:rsidRPr="00B8669F">
        <w:rPr>
          <w:sz w:val="20"/>
          <w:szCs w:val="20"/>
          <w:lang w:val="en-US"/>
        </w:rPr>
        <w:t>Vassiliadis</w:t>
      </w:r>
      <w:proofErr w:type="spellEnd"/>
      <w:r w:rsidRPr="00B8669F">
        <w:rPr>
          <w:sz w:val="20"/>
          <w:szCs w:val="20"/>
          <w:lang w:val="en-US"/>
        </w:rPr>
        <w:t xml:space="preserve">, C. A. (2017). Quality in bank service encounters: Assessing the equivalence of customers’ and front-line employees’ perceptions. </w:t>
      </w:r>
      <w:r w:rsidRPr="00B8669F">
        <w:rPr>
          <w:i/>
          <w:sz w:val="20"/>
          <w:szCs w:val="20"/>
          <w:lang w:val="en-US"/>
        </w:rPr>
        <w:t>International Journal of Quality &amp; Reliability Management</w:t>
      </w:r>
      <w:r w:rsidRPr="00B8669F">
        <w:rPr>
          <w:sz w:val="20"/>
          <w:szCs w:val="20"/>
          <w:lang w:val="en-US"/>
        </w:rPr>
        <w:t xml:space="preserve">, </w:t>
      </w:r>
      <w:r w:rsidRPr="00B8669F">
        <w:rPr>
          <w:i/>
          <w:sz w:val="20"/>
          <w:szCs w:val="20"/>
          <w:lang w:val="en-US"/>
        </w:rPr>
        <w:t>34</w:t>
      </w:r>
      <w:r w:rsidRPr="00B8669F">
        <w:rPr>
          <w:sz w:val="20"/>
          <w:szCs w:val="20"/>
          <w:lang w:val="en-US"/>
        </w:rPr>
        <w:t xml:space="preserve">(9), 1431–1450. </w:t>
      </w:r>
      <w:hyperlink r:id="rId22" w:history="1">
        <w:r w:rsidR="0089552B" w:rsidRPr="00604172">
          <w:rPr>
            <w:rStyle w:val="Hipervnculo"/>
            <w:sz w:val="20"/>
            <w:szCs w:val="20"/>
            <w:lang w:val="en-US"/>
          </w:rPr>
          <w:t>https://doi.org/10.1108/ijqrm-04-2016-0049</w:t>
        </w:r>
      </w:hyperlink>
    </w:p>
    <w:p w14:paraId="46E204EE" w14:textId="77777777" w:rsidR="0089552B" w:rsidRPr="00B8669F" w:rsidRDefault="0089552B" w:rsidP="0089552B">
      <w:pPr>
        <w:spacing w:after="0" w:line="240" w:lineRule="auto"/>
        <w:ind w:left="709" w:hanging="709"/>
        <w:jc w:val="both"/>
        <w:rPr>
          <w:sz w:val="20"/>
          <w:szCs w:val="20"/>
          <w:lang w:val="en-US"/>
        </w:rPr>
      </w:pPr>
    </w:p>
    <w:p w14:paraId="19044BF6" w14:textId="1A615647" w:rsidR="002316EB" w:rsidRDefault="00FA373F" w:rsidP="0089552B">
      <w:pPr>
        <w:spacing w:after="0" w:line="240" w:lineRule="auto"/>
        <w:ind w:left="709" w:hanging="709"/>
        <w:jc w:val="both"/>
        <w:rPr>
          <w:sz w:val="20"/>
          <w:szCs w:val="20"/>
        </w:rPr>
      </w:pPr>
      <w:r>
        <w:rPr>
          <w:sz w:val="20"/>
          <w:szCs w:val="20"/>
        </w:rPr>
        <w:t xml:space="preserve">Baptista, M. V. y León, M. d. F. (2013). Estrategias de lealtad de clientes en la banca universal. </w:t>
      </w:r>
      <w:r>
        <w:rPr>
          <w:i/>
          <w:sz w:val="20"/>
          <w:szCs w:val="20"/>
        </w:rPr>
        <w:t>Estudios Gerenciales</w:t>
      </w:r>
      <w:r>
        <w:rPr>
          <w:sz w:val="20"/>
          <w:szCs w:val="20"/>
        </w:rPr>
        <w:t xml:space="preserve">, </w:t>
      </w:r>
      <w:r>
        <w:rPr>
          <w:i/>
          <w:sz w:val="20"/>
          <w:szCs w:val="20"/>
        </w:rPr>
        <w:t>29</w:t>
      </w:r>
      <w:r>
        <w:rPr>
          <w:sz w:val="20"/>
          <w:szCs w:val="20"/>
        </w:rPr>
        <w:t xml:space="preserve">(127), 189-203. </w:t>
      </w:r>
      <w:hyperlink r:id="rId23" w:history="1">
        <w:r w:rsidR="0089552B" w:rsidRPr="00604172">
          <w:rPr>
            <w:rStyle w:val="Hipervnculo"/>
            <w:sz w:val="20"/>
            <w:szCs w:val="20"/>
          </w:rPr>
          <w:t>https://doi.org/10.1016/j.estger.2013.05.007</w:t>
        </w:r>
      </w:hyperlink>
    </w:p>
    <w:p w14:paraId="4589E26E" w14:textId="77777777" w:rsidR="0089552B" w:rsidRDefault="0089552B" w:rsidP="0089552B">
      <w:pPr>
        <w:spacing w:after="0" w:line="240" w:lineRule="auto"/>
        <w:ind w:left="709" w:hanging="709"/>
        <w:jc w:val="both"/>
        <w:rPr>
          <w:sz w:val="20"/>
          <w:szCs w:val="20"/>
        </w:rPr>
      </w:pPr>
    </w:p>
    <w:p w14:paraId="54E2D6BC" w14:textId="23378F0D" w:rsidR="002316EB" w:rsidRDefault="00FA373F" w:rsidP="0089552B">
      <w:pPr>
        <w:spacing w:after="0" w:line="240" w:lineRule="auto"/>
        <w:ind w:left="709" w:hanging="709"/>
        <w:jc w:val="both"/>
        <w:rPr>
          <w:sz w:val="20"/>
          <w:szCs w:val="20"/>
          <w:lang w:val="en-US"/>
        </w:rPr>
      </w:pPr>
      <w:proofErr w:type="gramStart"/>
      <w:r w:rsidRPr="003729BD">
        <w:rPr>
          <w:sz w:val="20"/>
          <w:szCs w:val="20"/>
          <w:lang w:val="en-US"/>
        </w:rPr>
        <w:t xml:space="preserve">Becker, J.-M., </w:t>
      </w:r>
      <w:proofErr w:type="spellStart"/>
      <w:r w:rsidRPr="003729BD">
        <w:rPr>
          <w:sz w:val="20"/>
          <w:szCs w:val="20"/>
          <w:lang w:val="en-US"/>
        </w:rPr>
        <w:t>Ringle</w:t>
      </w:r>
      <w:proofErr w:type="spellEnd"/>
      <w:r w:rsidRPr="003729BD">
        <w:rPr>
          <w:sz w:val="20"/>
          <w:szCs w:val="20"/>
          <w:lang w:val="en-US"/>
        </w:rPr>
        <w:t xml:space="preserve">, C. y </w:t>
      </w:r>
      <w:proofErr w:type="spellStart"/>
      <w:r w:rsidRPr="003729BD">
        <w:rPr>
          <w:sz w:val="20"/>
          <w:szCs w:val="20"/>
          <w:lang w:val="en-US"/>
        </w:rPr>
        <w:t>Sarstedt</w:t>
      </w:r>
      <w:proofErr w:type="spellEnd"/>
      <w:r w:rsidRPr="003729BD">
        <w:rPr>
          <w:sz w:val="20"/>
          <w:szCs w:val="20"/>
          <w:lang w:val="en-US"/>
        </w:rPr>
        <w:t>, M. (2018).</w:t>
      </w:r>
      <w:proofErr w:type="gramEnd"/>
      <w:r w:rsidRPr="003729BD">
        <w:rPr>
          <w:sz w:val="20"/>
          <w:szCs w:val="20"/>
          <w:lang w:val="en-US"/>
        </w:rPr>
        <w:t xml:space="preserve"> </w:t>
      </w:r>
      <w:proofErr w:type="gramStart"/>
      <w:r w:rsidRPr="00B8669F">
        <w:rPr>
          <w:sz w:val="20"/>
          <w:szCs w:val="20"/>
          <w:lang w:val="en-US"/>
        </w:rPr>
        <w:t xml:space="preserve">Estimating moderating effects in PLS-SEM and </w:t>
      </w:r>
      <w:proofErr w:type="spellStart"/>
      <w:r w:rsidRPr="00B8669F">
        <w:rPr>
          <w:sz w:val="20"/>
          <w:szCs w:val="20"/>
          <w:lang w:val="en-US"/>
        </w:rPr>
        <w:t>PLSc</w:t>
      </w:r>
      <w:proofErr w:type="spellEnd"/>
      <w:r w:rsidRPr="00B8669F">
        <w:rPr>
          <w:sz w:val="20"/>
          <w:szCs w:val="20"/>
          <w:lang w:val="en-US"/>
        </w:rPr>
        <w:t>-SEM: Interaction term generation data treatment.</w:t>
      </w:r>
      <w:proofErr w:type="gramEnd"/>
      <w:r w:rsidRPr="00B8669F">
        <w:rPr>
          <w:sz w:val="20"/>
          <w:szCs w:val="20"/>
          <w:lang w:val="en-US"/>
        </w:rPr>
        <w:t xml:space="preserve"> </w:t>
      </w:r>
      <w:r w:rsidRPr="00B8669F">
        <w:rPr>
          <w:i/>
          <w:sz w:val="20"/>
          <w:szCs w:val="20"/>
          <w:lang w:val="en-US"/>
        </w:rPr>
        <w:t>Journal of Applied Structural Equation Modeling</w:t>
      </w:r>
      <w:r w:rsidRPr="00B8669F">
        <w:rPr>
          <w:sz w:val="20"/>
          <w:szCs w:val="20"/>
          <w:lang w:val="en-US"/>
        </w:rPr>
        <w:t xml:space="preserve">, </w:t>
      </w:r>
      <w:r w:rsidRPr="00B8669F">
        <w:rPr>
          <w:i/>
          <w:sz w:val="20"/>
          <w:szCs w:val="20"/>
          <w:lang w:val="en-US"/>
        </w:rPr>
        <w:t>2</w:t>
      </w:r>
      <w:r w:rsidRPr="00B8669F">
        <w:rPr>
          <w:sz w:val="20"/>
          <w:szCs w:val="20"/>
          <w:lang w:val="en-US"/>
        </w:rPr>
        <w:t>(2), 1-21.</w:t>
      </w:r>
    </w:p>
    <w:p w14:paraId="2577B479" w14:textId="77777777" w:rsidR="0089552B" w:rsidRPr="00B8669F" w:rsidRDefault="0089552B" w:rsidP="0089552B">
      <w:pPr>
        <w:spacing w:after="0" w:line="240" w:lineRule="auto"/>
        <w:ind w:left="709" w:hanging="709"/>
        <w:jc w:val="both"/>
        <w:rPr>
          <w:sz w:val="20"/>
          <w:szCs w:val="20"/>
          <w:lang w:val="en-US"/>
        </w:rPr>
      </w:pPr>
    </w:p>
    <w:p w14:paraId="1D54D73F" w14:textId="2D508751" w:rsidR="002316EB" w:rsidRDefault="00FA373F" w:rsidP="0089552B">
      <w:pPr>
        <w:spacing w:after="0" w:line="240" w:lineRule="auto"/>
        <w:ind w:left="709" w:hanging="709"/>
        <w:jc w:val="both"/>
        <w:rPr>
          <w:sz w:val="20"/>
          <w:szCs w:val="20"/>
        </w:rPr>
      </w:pPr>
      <w:r w:rsidRPr="00B8669F">
        <w:rPr>
          <w:sz w:val="20"/>
          <w:szCs w:val="20"/>
          <w:lang w:val="en-US"/>
        </w:rPr>
        <w:t xml:space="preserve">Belmonte </w:t>
      </w:r>
      <w:proofErr w:type="spellStart"/>
      <w:r w:rsidRPr="00B8669F">
        <w:rPr>
          <w:sz w:val="20"/>
          <w:szCs w:val="20"/>
          <w:lang w:val="en-US"/>
        </w:rPr>
        <w:t>Ureña</w:t>
      </w:r>
      <w:proofErr w:type="spellEnd"/>
      <w:r w:rsidRPr="00B8669F">
        <w:rPr>
          <w:sz w:val="20"/>
          <w:szCs w:val="20"/>
          <w:lang w:val="en-US"/>
        </w:rPr>
        <w:t xml:space="preserve">, L. J. y Cortés </w:t>
      </w:r>
      <w:proofErr w:type="spellStart"/>
      <w:r w:rsidRPr="00B8669F">
        <w:rPr>
          <w:sz w:val="20"/>
          <w:szCs w:val="20"/>
          <w:lang w:val="en-US"/>
        </w:rPr>
        <w:t>García</w:t>
      </w:r>
      <w:proofErr w:type="spellEnd"/>
      <w:r w:rsidRPr="00B8669F">
        <w:rPr>
          <w:sz w:val="20"/>
          <w:szCs w:val="20"/>
          <w:lang w:val="en-US"/>
        </w:rPr>
        <w:t xml:space="preserve">, F. J. (2010). </w:t>
      </w:r>
      <w:r>
        <w:rPr>
          <w:sz w:val="20"/>
          <w:szCs w:val="20"/>
        </w:rPr>
        <w:t xml:space="preserve">La concentración del sector de cooperativas de crédito en España. </w:t>
      </w:r>
      <w:r>
        <w:rPr>
          <w:i/>
          <w:sz w:val="20"/>
          <w:szCs w:val="20"/>
        </w:rPr>
        <w:t>CIRIEC-España Revista de economía pública, social y cooperativa</w:t>
      </w:r>
      <w:r>
        <w:rPr>
          <w:sz w:val="20"/>
          <w:szCs w:val="20"/>
        </w:rPr>
        <w:t xml:space="preserve">, (68), 223-246. </w:t>
      </w:r>
      <w:hyperlink r:id="rId24" w:history="1">
        <w:r w:rsidR="0089552B" w:rsidRPr="00604172">
          <w:rPr>
            <w:rStyle w:val="Hipervnculo"/>
            <w:sz w:val="20"/>
            <w:szCs w:val="20"/>
          </w:rPr>
          <w:t>https://www.redalyc.org/pdf/174/17418681003.pdf</w:t>
        </w:r>
      </w:hyperlink>
    </w:p>
    <w:p w14:paraId="25020D1F" w14:textId="77777777" w:rsidR="0089552B" w:rsidRDefault="0089552B" w:rsidP="0089552B">
      <w:pPr>
        <w:spacing w:after="0" w:line="240" w:lineRule="auto"/>
        <w:ind w:left="709" w:hanging="709"/>
        <w:jc w:val="both"/>
        <w:rPr>
          <w:sz w:val="20"/>
          <w:szCs w:val="20"/>
        </w:rPr>
      </w:pPr>
    </w:p>
    <w:p w14:paraId="5AD24368" w14:textId="56BA8432" w:rsidR="002316EB" w:rsidRDefault="00FA373F" w:rsidP="0089552B">
      <w:pPr>
        <w:spacing w:after="0" w:line="240" w:lineRule="auto"/>
        <w:ind w:left="709" w:hanging="709"/>
        <w:jc w:val="both"/>
        <w:rPr>
          <w:sz w:val="20"/>
          <w:szCs w:val="20"/>
        </w:rPr>
      </w:pPr>
      <w:r>
        <w:rPr>
          <w:sz w:val="20"/>
          <w:szCs w:val="20"/>
        </w:rPr>
        <w:t xml:space="preserve">Cavazos, J. (2010). El Concepto de Marketing Bajo el Paradigma Relacional. Una Agenda para Latinoamérica. </w:t>
      </w:r>
      <w:r>
        <w:rPr>
          <w:i/>
          <w:sz w:val="20"/>
          <w:szCs w:val="20"/>
        </w:rPr>
        <w:t>Revista Brasileira de Marketing</w:t>
      </w:r>
      <w:r>
        <w:rPr>
          <w:sz w:val="20"/>
          <w:szCs w:val="20"/>
        </w:rPr>
        <w:t xml:space="preserve">, </w:t>
      </w:r>
      <w:r>
        <w:rPr>
          <w:i/>
          <w:sz w:val="20"/>
          <w:szCs w:val="20"/>
        </w:rPr>
        <w:t>8</w:t>
      </w:r>
      <w:r>
        <w:rPr>
          <w:sz w:val="20"/>
          <w:szCs w:val="20"/>
        </w:rPr>
        <w:t xml:space="preserve">(1), 5-23. </w:t>
      </w:r>
      <w:hyperlink r:id="rId25" w:history="1">
        <w:r w:rsidR="0089552B" w:rsidRPr="00604172">
          <w:rPr>
            <w:rStyle w:val="Hipervnculo"/>
            <w:sz w:val="20"/>
            <w:szCs w:val="20"/>
          </w:rPr>
          <w:t>https://doi.org/10.5585/remark.v8i1.2124</w:t>
        </w:r>
      </w:hyperlink>
    </w:p>
    <w:p w14:paraId="69B7C935" w14:textId="77777777" w:rsidR="0089552B" w:rsidRDefault="0089552B" w:rsidP="0089552B">
      <w:pPr>
        <w:spacing w:after="0" w:line="240" w:lineRule="auto"/>
        <w:ind w:left="709" w:hanging="709"/>
        <w:jc w:val="both"/>
        <w:rPr>
          <w:sz w:val="20"/>
          <w:szCs w:val="20"/>
        </w:rPr>
      </w:pPr>
    </w:p>
    <w:p w14:paraId="4F70DD79" w14:textId="475E79B5" w:rsidR="002316EB" w:rsidRDefault="00FA373F" w:rsidP="0089552B">
      <w:pPr>
        <w:spacing w:after="0" w:line="240" w:lineRule="auto"/>
        <w:ind w:left="709" w:hanging="709"/>
        <w:jc w:val="both"/>
        <w:rPr>
          <w:sz w:val="20"/>
          <w:szCs w:val="20"/>
        </w:rPr>
      </w:pPr>
      <w:proofErr w:type="spellStart"/>
      <w:r>
        <w:rPr>
          <w:sz w:val="20"/>
          <w:szCs w:val="20"/>
        </w:rPr>
        <w:t>Chachipanta</w:t>
      </w:r>
      <w:proofErr w:type="spellEnd"/>
      <w:r>
        <w:rPr>
          <w:sz w:val="20"/>
          <w:szCs w:val="20"/>
        </w:rPr>
        <w:t xml:space="preserve">, M. E. (2017). </w:t>
      </w:r>
      <w:r>
        <w:rPr>
          <w:i/>
          <w:sz w:val="20"/>
          <w:szCs w:val="20"/>
        </w:rPr>
        <w:t xml:space="preserve">Aplicación del modelo SERVQUAL para la evaluación y mejoramiento de la calidad de los servicios en la Cooperativa de Ahorro y Crédito </w:t>
      </w:r>
      <w:proofErr w:type="spellStart"/>
      <w:r>
        <w:rPr>
          <w:i/>
          <w:sz w:val="20"/>
          <w:szCs w:val="20"/>
        </w:rPr>
        <w:t>Indigena</w:t>
      </w:r>
      <w:proofErr w:type="spellEnd"/>
      <w:r>
        <w:rPr>
          <w:i/>
          <w:sz w:val="20"/>
          <w:szCs w:val="20"/>
        </w:rPr>
        <w:t xml:space="preserve"> SAC LTDA</w:t>
      </w:r>
      <w:r>
        <w:rPr>
          <w:sz w:val="20"/>
          <w:szCs w:val="20"/>
        </w:rPr>
        <w:t xml:space="preserve">. </w:t>
      </w:r>
      <w:proofErr w:type="gramStart"/>
      <w:r>
        <w:rPr>
          <w:i/>
          <w:sz w:val="20"/>
          <w:szCs w:val="20"/>
        </w:rPr>
        <w:t>de</w:t>
      </w:r>
      <w:proofErr w:type="gramEnd"/>
      <w:r>
        <w:rPr>
          <w:i/>
          <w:sz w:val="20"/>
          <w:szCs w:val="20"/>
        </w:rPr>
        <w:t xml:space="preserve"> la ciudad de Ambato, provincia de Tungurahua</w:t>
      </w:r>
      <w:r>
        <w:rPr>
          <w:sz w:val="20"/>
          <w:szCs w:val="20"/>
        </w:rPr>
        <w:t xml:space="preserve"> [Tesis de Pregrado. Escuela Superior Politécnica de Chimborazo, Tungurahua, Ecuador]. </w:t>
      </w:r>
      <w:hyperlink r:id="rId26" w:history="1">
        <w:r w:rsidR="0089552B" w:rsidRPr="00604172">
          <w:rPr>
            <w:rStyle w:val="Hipervnculo"/>
            <w:sz w:val="20"/>
            <w:szCs w:val="20"/>
          </w:rPr>
          <w:t>http://dspace.espoch.edu.ec/handle/123456789/13217</w:t>
        </w:r>
      </w:hyperlink>
    </w:p>
    <w:p w14:paraId="414F128A" w14:textId="77777777" w:rsidR="0089552B" w:rsidRDefault="0089552B" w:rsidP="0089552B">
      <w:pPr>
        <w:spacing w:after="0" w:line="240" w:lineRule="auto"/>
        <w:ind w:left="709" w:hanging="709"/>
        <w:jc w:val="both"/>
        <w:rPr>
          <w:sz w:val="20"/>
          <w:szCs w:val="20"/>
        </w:rPr>
      </w:pPr>
    </w:p>
    <w:p w14:paraId="37ED4BFD" w14:textId="0F55DA96" w:rsidR="002316EB" w:rsidRDefault="00FA373F" w:rsidP="0089552B">
      <w:pPr>
        <w:spacing w:after="0" w:line="240" w:lineRule="auto"/>
        <w:ind w:left="709" w:hanging="709"/>
        <w:jc w:val="both"/>
        <w:rPr>
          <w:sz w:val="20"/>
          <w:szCs w:val="20"/>
          <w:lang w:val="en-US"/>
        </w:rPr>
      </w:pPr>
      <w:r w:rsidRPr="00B8669F">
        <w:rPr>
          <w:sz w:val="20"/>
          <w:szCs w:val="20"/>
          <w:lang w:val="en-US"/>
        </w:rPr>
        <w:t xml:space="preserve">Chin, W. W. (1998). Commentary: Issues and opinion on structural equation modeling. </w:t>
      </w:r>
      <w:proofErr w:type="gramStart"/>
      <w:r w:rsidRPr="00B8669F">
        <w:rPr>
          <w:i/>
          <w:sz w:val="20"/>
          <w:szCs w:val="20"/>
          <w:lang w:val="en-US"/>
        </w:rPr>
        <w:t>MIS Quarterly</w:t>
      </w:r>
      <w:r w:rsidRPr="00B8669F">
        <w:rPr>
          <w:sz w:val="20"/>
          <w:szCs w:val="20"/>
          <w:lang w:val="en-US"/>
        </w:rPr>
        <w:t xml:space="preserve">, </w:t>
      </w:r>
      <w:r w:rsidRPr="00B8669F">
        <w:rPr>
          <w:i/>
          <w:sz w:val="20"/>
          <w:szCs w:val="20"/>
          <w:lang w:val="en-US"/>
        </w:rPr>
        <w:t>22</w:t>
      </w:r>
      <w:r w:rsidRPr="00B8669F">
        <w:rPr>
          <w:sz w:val="20"/>
          <w:szCs w:val="20"/>
          <w:lang w:val="en-US"/>
        </w:rPr>
        <w:t>(1), vii-xvi.</w:t>
      </w:r>
      <w:proofErr w:type="gramEnd"/>
      <w:r w:rsidRPr="00B8669F">
        <w:rPr>
          <w:sz w:val="20"/>
          <w:szCs w:val="20"/>
          <w:lang w:val="en-US"/>
        </w:rPr>
        <w:t xml:space="preserve"> </w:t>
      </w:r>
      <w:hyperlink r:id="rId27" w:history="1">
        <w:r w:rsidR="0089552B" w:rsidRPr="00604172">
          <w:rPr>
            <w:rStyle w:val="Hipervnculo"/>
            <w:sz w:val="20"/>
            <w:szCs w:val="20"/>
            <w:lang w:val="en-US"/>
          </w:rPr>
          <w:t>https://www.jstor.org/stable/249674</w:t>
        </w:r>
      </w:hyperlink>
      <w:r w:rsidRPr="00B8669F">
        <w:rPr>
          <w:sz w:val="20"/>
          <w:szCs w:val="20"/>
          <w:lang w:val="en-US"/>
        </w:rPr>
        <w:t xml:space="preserve"> </w:t>
      </w:r>
    </w:p>
    <w:p w14:paraId="74948C3F" w14:textId="77777777" w:rsidR="0089552B" w:rsidRPr="00B8669F" w:rsidRDefault="0089552B" w:rsidP="0089552B">
      <w:pPr>
        <w:spacing w:after="0" w:line="240" w:lineRule="auto"/>
        <w:ind w:left="709" w:hanging="709"/>
        <w:jc w:val="both"/>
        <w:rPr>
          <w:sz w:val="20"/>
          <w:szCs w:val="20"/>
          <w:lang w:val="en-US"/>
        </w:rPr>
      </w:pPr>
    </w:p>
    <w:p w14:paraId="25890B5E" w14:textId="6BAF5C5E" w:rsidR="002316EB" w:rsidRDefault="00FA373F" w:rsidP="0089552B">
      <w:pPr>
        <w:spacing w:after="0" w:line="240" w:lineRule="auto"/>
        <w:ind w:left="709" w:hanging="709"/>
        <w:jc w:val="both"/>
        <w:rPr>
          <w:sz w:val="20"/>
          <w:szCs w:val="20"/>
        </w:rPr>
      </w:pPr>
      <w:r w:rsidRPr="00B8669F">
        <w:rPr>
          <w:sz w:val="20"/>
          <w:szCs w:val="20"/>
          <w:lang w:val="en-US"/>
        </w:rPr>
        <w:t xml:space="preserve">Cohen, J. (1988). </w:t>
      </w:r>
      <w:proofErr w:type="gramStart"/>
      <w:r w:rsidRPr="00B8669F">
        <w:rPr>
          <w:i/>
          <w:sz w:val="20"/>
          <w:szCs w:val="20"/>
          <w:lang w:val="en-US"/>
        </w:rPr>
        <w:t>Statistical power analysis for the social sciences</w:t>
      </w:r>
      <w:r w:rsidRPr="00B8669F">
        <w:rPr>
          <w:sz w:val="20"/>
          <w:szCs w:val="20"/>
          <w:lang w:val="en-US"/>
        </w:rPr>
        <w:t>.</w:t>
      </w:r>
      <w:proofErr w:type="gramEnd"/>
      <w:r w:rsidRPr="00B8669F">
        <w:rPr>
          <w:sz w:val="20"/>
          <w:szCs w:val="20"/>
          <w:lang w:val="en-US"/>
        </w:rPr>
        <w:t xml:space="preserve"> </w:t>
      </w:r>
      <w:r>
        <w:rPr>
          <w:sz w:val="20"/>
          <w:szCs w:val="20"/>
        </w:rPr>
        <w:t xml:space="preserve">Lawrence </w:t>
      </w:r>
      <w:proofErr w:type="spellStart"/>
      <w:r>
        <w:rPr>
          <w:sz w:val="20"/>
          <w:szCs w:val="20"/>
        </w:rPr>
        <w:t>Earlbaum</w:t>
      </w:r>
      <w:proofErr w:type="spellEnd"/>
      <w:r>
        <w:rPr>
          <w:sz w:val="20"/>
          <w:szCs w:val="20"/>
        </w:rPr>
        <w:t xml:space="preserve"> </w:t>
      </w:r>
      <w:proofErr w:type="spellStart"/>
      <w:r>
        <w:rPr>
          <w:sz w:val="20"/>
          <w:szCs w:val="20"/>
        </w:rPr>
        <w:t>Associates</w:t>
      </w:r>
      <w:proofErr w:type="spellEnd"/>
      <w:r>
        <w:rPr>
          <w:sz w:val="20"/>
          <w:szCs w:val="20"/>
        </w:rPr>
        <w:t>.</w:t>
      </w:r>
    </w:p>
    <w:p w14:paraId="417784F9" w14:textId="77777777" w:rsidR="0089552B" w:rsidRDefault="0089552B" w:rsidP="0089552B">
      <w:pPr>
        <w:spacing w:after="0" w:line="240" w:lineRule="auto"/>
        <w:ind w:left="709" w:hanging="709"/>
        <w:jc w:val="both"/>
        <w:rPr>
          <w:sz w:val="20"/>
          <w:szCs w:val="20"/>
        </w:rPr>
      </w:pPr>
    </w:p>
    <w:p w14:paraId="1585E28D" w14:textId="70CC82A7" w:rsidR="002316EB" w:rsidRDefault="00FA373F" w:rsidP="0089552B">
      <w:pPr>
        <w:spacing w:after="0" w:line="240" w:lineRule="auto"/>
        <w:ind w:left="709" w:hanging="709"/>
        <w:jc w:val="both"/>
        <w:rPr>
          <w:sz w:val="20"/>
          <w:szCs w:val="20"/>
        </w:rPr>
      </w:pPr>
      <w:r>
        <w:rPr>
          <w:sz w:val="20"/>
          <w:szCs w:val="20"/>
        </w:rPr>
        <w:t>Cruz-</w:t>
      </w:r>
      <w:proofErr w:type="spellStart"/>
      <w:r>
        <w:rPr>
          <w:sz w:val="20"/>
          <w:szCs w:val="20"/>
        </w:rPr>
        <w:t>Ramirez</w:t>
      </w:r>
      <w:proofErr w:type="spellEnd"/>
      <w:r>
        <w:rPr>
          <w:sz w:val="20"/>
          <w:szCs w:val="20"/>
        </w:rPr>
        <w:t xml:space="preserve">, D., Pérez-Castañeda, S. S. y Piedra-Mayorga, V. M. (2013). La opción de las </w:t>
      </w:r>
      <w:proofErr w:type="spellStart"/>
      <w:r>
        <w:rPr>
          <w:sz w:val="20"/>
          <w:szCs w:val="20"/>
        </w:rPr>
        <w:t>microfinanzas</w:t>
      </w:r>
      <w:proofErr w:type="spellEnd"/>
      <w:r>
        <w:rPr>
          <w:sz w:val="20"/>
          <w:szCs w:val="20"/>
        </w:rPr>
        <w:t xml:space="preserve"> para salir de la pobreza, en México. </w:t>
      </w:r>
      <w:r>
        <w:rPr>
          <w:i/>
          <w:sz w:val="20"/>
          <w:szCs w:val="20"/>
        </w:rPr>
        <w:t>Ciencias Administrativas</w:t>
      </w:r>
      <w:r>
        <w:rPr>
          <w:sz w:val="20"/>
          <w:szCs w:val="20"/>
        </w:rPr>
        <w:t xml:space="preserve">, </w:t>
      </w:r>
      <w:r>
        <w:rPr>
          <w:i/>
          <w:sz w:val="20"/>
          <w:szCs w:val="20"/>
        </w:rPr>
        <w:t>1</w:t>
      </w:r>
      <w:r>
        <w:rPr>
          <w:sz w:val="20"/>
          <w:szCs w:val="20"/>
        </w:rPr>
        <w:t xml:space="preserve">(2), 3-14. </w:t>
      </w:r>
      <w:hyperlink r:id="rId28" w:history="1">
        <w:r w:rsidR="0089552B" w:rsidRPr="00604172">
          <w:rPr>
            <w:rStyle w:val="Hipervnculo"/>
            <w:sz w:val="20"/>
            <w:szCs w:val="20"/>
          </w:rPr>
          <w:t>http://sedici.unlp.edu.ar/handle/10915/32526</w:t>
        </w:r>
      </w:hyperlink>
    </w:p>
    <w:p w14:paraId="0EB29175" w14:textId="77777777" w:rsidR="0089552B" w:rsidRDefault="0089552B" w:rsidP="0089552B">
      <w:pPr>
        <w:spacing w:after="0" w:line="240" w:lineRule="auto"/>
        <w:ind w:left="709" w:hanging="709"/>
        <w:jc w:val="both"/>
        <w:rPr>
          <w:sz w:val="20"/>
          <w:szCs w:val="20"/>
        </w:rPr>
      </w:pPr>
    </w:p>
    <w:p w14:paraId="4C51070D" w14:textId="70BD3BB3" w:rsidR="002316EB" w:rsidRDefault="00FA373F" w:rsidP="0089552B">
      <w:pPr>
        <w:spacing w:after="0" w:line="240" w:lineRule="auto"/>
        <w:ind w:left="709" w:hanging="709"/>
        <w:jc w:val="both"/>
        <w:rPr>
          <w:sz w:val="20"/>
          <w:szCs w:val="20"/>
        </w:rPr>
      </w:pPr>
      <w:r>
        <w:rPr>
          <w:sz w:val="20"/>
          <w:szCs w:val="20"/>
        </w:rPr>
        <w:t xml:space="preserve">Estrada, M., </w:t>
      </w:r>
      <w:proofErr w:type="spellStart"/>
      <w:r>
        <w:rPr>
          <w:sz w:val="20"/>
          <w:szCs w:val="20"/>
        </w:rPr>
        <w:t>Fandos</w:t>
      </w:r>
      <w:proofErr w:type="spellEnd"/>
      <w:r>
        <w:rPr>
          <w:sz w:val="20"/>
          <w:szCs w:val="20"/>
        </w:rPr>
        <w:t xml:space="preserve">, C., </w:t>
      </w:r>
      <w:proofErr w:type="spellStart"/>
      <w:r>
        <w:rPr>
          <w:sz w:val="20"/>
          <w:szCs w:val="20"/>
        </w:rPr>
        <w:t>Monferrer</w:t>
      </w:r>
      <w:proofErr w:type="spellEnd"/>
      <w:r>
        <w:rPr>
          <w:sz w:val="20"/>
          <w:szCs w:val="20"/>
        </w:rPr>
        <w:t xml:space="preserve">, D. y Moliner, Á. (2014). La calidad del servicio en la Banca Española: El caso de las personas mayores. </w:t>
      </w:r>
      <w:r>
        <w:rPr>
          <w:i/>
          <w:sz w:val="20"/>
          <w:szCs w:val="20"/>
        </w:rPr>
        <w:t>Revista Portuguesa de Marketing</w:t>
      </w:r>
      <w:r>
        <w:rPr>
          <w:sz w:val="20"/>
          <w:szCs w:val="20"/>
        </w:rPr>
        <w:t xml:space="preserve">, </w:t>
      </w:r>
      <w:r>
        <w:rPr>
          <w:i/>
          <w:sz w:val="20"/>
          <w:szCs w:val="20"/>
        </w:rPr>
        <w:t>33</w:t>
      </w:r>
      <w:r>
        <w:rPr>
          <w:sz w:val="20"/>
          <w:szCs w:val="20"/>
        </w:rPr>
        <w:t>, 75-91.</w:t>
      </w:r>
    </w:p>
    <w:p w14:paraId="26A825C2" w14:textId="77777777" w:rsidR="0089552B" w:rsidRDefault="0089552B" w:rsidP="0089552B">
      <w:pPr>
        <w:spacing w:after="0" w:line="240" w:lineRule="auto"/>
        <w:ind w:left="709" w:hanging="709"/>
        <w:jc w:val="both"/>
        <w:rPr>
          <w:sz w:val="20"/>
          <w:szCs w:val="20"/>
        </w:rPr>
      </w:pPr>
    </w:p>
    <w:p w14:paraId="5B8850AB" w14:textId="59F6C644" w:rsidR="002316EB" w:rsidRDefault="00FA373F" w:rsidP="0089552B">
      <w:pPr>
        <w:spacing w:after="0" w:line="240" w:lineRule="auto"/>
        <w:ind w:left="709" w:hanging="709"/>
        <w:jc w:val="both"/>
        <w:rPr>
          <w:sz w:val="20"/>
          <w:szCs w:val="20"/>
        </w:rPr>
      </w:pPr>
      <w:r>
        <w:rPr>
          <w:sz w:val="20"/>
          <w:szCs w:val="20"/>
        </w:rPr>
        <w:t xml:space="preserve">Fuentes-Dávila, H. (2016). Determinantes del margen financiero en el sector </w:t>
      </w:r>
      <w:proofErr w:type="spellStart"/>
      <w:r>
        <w:rPr>
          <w:sz w:val="20"/>
          <w:szCs w:val="20"/>
        </w:rPr>
        <w:t>microfinanciero</w:t>
      </w:r>
      <w:proofErr w:type="spellEnd"/>
      <w:r>
        <w:rPr>
          <w:sz w:val="20"/>
          <w:szCs w:val="20"/>
        </w:rPr>
        <w:t xml:space="preserve">: El caso peruano. </w:t>
      </w:r>
      <w:r>
        <w:rPr>
          <w:i/>
          <w:sz w:val="20"/>
          <w:szCs w:val="20"/>
        </w:rPr>
        <w:t>Revista Estudios Económicos</w:t>
      </w:r>
      <w:r>
        <w:rPr>
          <w:sz w:val="20"/>
          <w:szCs w:val="20"/>
        </w:rPr>
        <w:t xml:space="preserve">, (32), 71-80. </w:t>
      </w:r>
      <w:hyperlink r:id="rId29" w:history="1">
        <w:r w:rsidR="0089552B" w:rsidRPr="00604172">
          <w:rPr>
            <w:rStyle w:val="Hipervnculo"/>
            <w:sz w:val="20"/>
            <w:szCs w:val="20"/>
          </w:rPr>
          <w:t>https://www.bcrp.gob.pe/docs/Publicaciones/Revista-Estudios-Economicos/32/ree-32-fuentes.pdf</w:t>
        </w:r>
      </w:hyperlink>
    </w:p>
    <w:p w14:paraId="4958CD9E" w14:textId="77777777" w:rsidR="0089552B" w:rsidRDefault="0089552B" w:rsidP="0089552B">
      <w:pPr>
        <w:spacing w:after="0" w:line="240" w:lineRule="auto"/>
        <w:ind w:left="709" w:hanging="709"/>
        <w:jc w:val="both"/>
        <w:rPr>
          <w:sz w:val="20"/>
          <w:szCs w:val="20"/>
        </w:rPr>
      </w:pPr>
    </w:p>
    <w:p w14:paraId="178B8CE3" w14:textId="19475C15" w:rsidR="002316EB" w:rsidRDefault="00FA373F" w:rsidP="0089552B">
      <w:pPr>
        <w:spacing w:after="0" w:line="240" w:lineRule="auto"/>
        <w:ind w:left="709" w:hanging="709"/>
        <w:jc w:val="both"/>
        <w:rPr>
          <w:sz w:val="20"/>
          <w:szCs w:val="20"/>
        </w:rPr>
      </w:pPr>
      <w:r>
        <w:rPr>
          <w:sz w:val="20"/>
          <w:szCs w:val="20"/>
        </w:rPr>
        <w:t xml:space="preserve">González, R. (2015). Evaluación de la calidad del servicio percibida en entidades bancarias a través de la escala </w:t>
      </w:r>
      <w:proofErr w:type="spellStart"/>
      <w:r>
        <w:rPr>
          <w:sz w:val="20"/>
          <w:szCs w:val="20"/>
        </w:rPr>
        <w:t>Servqual</w:t>
      </w:r>
      <w:proofErr w:type="spellEnd"/>
      <w:r>
        <w:rPr>
          <w:sz w:val="20"/>
          <w:szCs w:val="20"/>
        </w:rPr>
        <w:t xml:space="preserve">. </w:t>
      </w:r>
      <w:r>
        <w:rPr>
          <w:i/>
          <w:sz w:val="20"/>
          <w:szCs w:val="20"/>
        </w:rPr>
        <w:t>Ciencia e Ingeniería Neogranadina</w:t>
      </w:r>
      <w:r>
        <w:rPr>
          <w:sz w:val="20"/>
          <w:szCs w:val="20"/>
        </w:rPr>
        <w:t xml:space="preserve">, </w:t>
      </w:r>
      <w:r>
        <w:rPr>
          <w:i/>
          <w:sz w:val="20"/>
          <w:szCs w:val="20"/>
        </w:rPr>
        <w:t>25</w:t>
      </w:r>
      <w:r>
        <w:rPr>
          <w:sz w:val="20"/>
          <w:szCs w:val="20"/>
        </w:rPr>
        <w:t xml:space="preserve">(1), 113-135. </w:t>
      </w:r>
      <w:hyperlink r:id="rId30" w:history="1">
        <w:r w:rsidR="0089552B" w:rsidRPr="00604172">
          <w:rPr>
            <w:rStyle w:val="Hipervnculo"/>
            <w:sz w:val="20"/>
            <w:szCs w:val="20"/>
          </w:rPr>
          <w:t>https://doi.org/10.18359/rcin.439</w:t>
        </w:r>
      </w:hyperlink>
      <w:r>
        <w:rPr>
          <w:sz w:val="20"/>
          <w:szCs w:val="20"/>
        </w:rPr>
        <w:t xml:space="preserve"> </w:t>
      </w:r>
    </w:p>
    <w:p w14:paraId="6CB4C99A" w14:textId="77777777" w:rsidR="0089552B" w:rsidRDefault="0089552B" w:rsidP="0089552B">
      <w:pPr>
        <w:spacing w:after="0" w:line="240" w:lineRule="auto"/>
        <w:ind w:left="709" w:hanging="709"/>
        <w:jc w:val="both"/>
        <w:rPr>
          <w:sz w:val="20"/>
          <w:szCs w:val="20"/>
        </w:rPr>
      </w:pPr>
    </w:p>
    <w:p w14:paraId="5FA88EFE" w14:textId="61A44EB2" w:rsidR="002316EB" w:rsidRDefault="00FA373F" w:rsidP="0089552B">
      <w:pPr>
        <w:spacing w:after="0" w:line="240" w:lineRule="auto"/>
        <w:ind w:left="709" w:hanging="709"/>
        <w:jc w:val="both"/>
        <w:rPr>
          <w:sz w:val="20"/>
          <w:szCs w:val="20"/>
          <w:lang w:val="en-US"/>
        </w:rPr>
      </w:pPr>
      <w:proofErr w:type="spellStart"/>
      <w:r>
        <w:rPr>
          <w:sz w:val="20"/>
          <w:szCs w:val="20"/>
        </w:rPr>
        <w:t>Gosso</w:t>
      </w:r>
      <w:proofErr w:type="spellEnd"/>
      <w:r>
        <w:rPr>
          <w:sz w:val="20"/>
          <w:szCs w:val="20"/>
        </w:rPr>
        <w:t xml:space="preserve">, F. (2010). </w:t>
      </w:r>
      <w:proofErr w:type="spellStart"/>
      <w:r>
        <w:rPr>
          <w:i/>
          <w:sz w:val="20"/>
          <w:szCs w:val="20"/>
        </w:rPr>
        <w:t>Hiper</w:t>
      </w:r>
      <w:proofErr w:type="spellEnd"/>
      <w:r>
        <w:rPr>
          <w:i/>
          <w:sz w:val="20"/>
          <w:szCs w:val="20"/>
        </w:rPr>
        <w:t xml:space="preserve"> satisfacción del cliente: Conceptos y herramientas para ofrecer un servicio sobresaliente.</w:t>
      </w:r>
      <w:r>
        <w:rPr>
          <w:sz w:val="20"/>
          <w:szCs w:val="20"/>
        </w:rPr>
        <w:t xml:space="preserve"> </w:t>
      </w:r>
      <w:proofErr w:type="gramStart"/>
      <w:r w:rsidRPr="00B8669F">
        <w:rPr>
          <w:sz w:val="20"/>
          <w:szCs w:val="20"/>
          <w:lang w:val="en-US"/>
        </w:rPr>
        <w:t>Panorama editorial.</w:t>
      </w:r>
      <w:proofErr w:type="gramEnd"/>
    </w:p>
    <w:p w14:paraId="776BDDEC" w14:textId="77777777" w:rsidR="0089552B" w:rsidRPr="00B8669F" w:rsidRDefault="0089552B" w:rsidP="0089552B">
      <w:pPr>
        <w:spacing w:after="0" w:line="240" w:lineRule="auto"/>
        <w:ind w:left="709" w:hanging="709"/>
        <w:jc w:val="both"/>
        <w:rPr>
          <w:sz w:val="20"/>
          <w:szCs w:val="20"/>
          <w:lang w:val="en-US"/>
        </w:rPr>
      </w:pPr>
    </w:p>
    <w:p w14:paraId="60829EC2" w14:textId="370F4B5C" w:rsidR="002316EB" w:rsidRDefault="00FA373F" w:rsidP="0089552B">
      <w:pPr>
        <w:spacing w:after="0" w:line="240" w:lineRule="auto"/>
        <w:ind w:left="709" w:hanging="709"/>
        <w:jc w:val="both"/>
        <w:rPr>
          <w:sz w:val="20"/>
          <w:szCs w:val="20"/>
          <w:lang w:val="en-US"/>
        </w:rPr>
      </w:pPr>
      <w:proofErr w:type="spellStart"/>
      <w:r w:rsidRPr="00B8669F">
        <w:rPr>
          <w:sz w:val="20"/>
          <w:szCs w:val="20"/>
          <w:lang w:val="en-US"/>
        </w:rPr>
        <w:t>Gunasekare</w:t>
      </w:r>
      <w:proofErr w:type="spellEnd"/>
      <w:r w:rsidRPr="00B8669F">
        <w:rPr>
          <w:sz w:val="20"/>
          <w:szCs w:val="20"/>
          <w:lang w:val="en-US"/>
        </w:rPr>
        <w:t xml:space="preserve">, T. P. (2016). Human Factors of Service Quality: Study of Retail Banking in Sri Lanka. </w:t>
      </w:r>
      <w:r w:rsidRPr="00B8669F">
        <w:rPr>
          <w:i/>
          <w:sz w:val="20"/>
          <w:szCs w:val="20"/>
          <w:lang w:val="en-US"/>
        </w:rPr>
        <w:t>International Journal of Business and Social Science</w:t>
      </w:r>
      <w:r w:rsidRPr="00B8669F">
        <w:rPr>
          <w:sz w:val="20"/>
          <w:szCs w:val="20"/>
          <w:lang w:val="en-US"/>
        </w:rPr>
        <w:t xml:space="preserve">, 7(2), 140-145. </w:t>
      </w:r>
      <w:hyperlink r:id="rId31" w:history="1">
        <w:r w:rsidR="0089552B" w:rsidRPr="00604172">
          <w:rPr>
            <w:rStyle w:val="Hipervnculo"/>
            <w:sz w:val="20"/>
            <w:szCs w:val="20"/>
            <w:lang w:val="en-US"/>
          </w:rPr>
          <w:t>https://ssrn.com/abstract=2771629</w:t>
        </w:r>
      </w:hyperlink>
    </w:p>
    <w:p w14:paraId="73C8C727" w14:textId="77777777" w:rsidR="0089552B" w:rsidRPr="00B8669F" w:rsidRDefault="0089552B" w:rsidP="0089552B">
      <w:pPr>
        <w:spacing w:after="0" w:line="240" w:lineRule="auto"/>
        <w:ind w:left="709" w:hanging="709"/>
        <w:jc w:val="both"/>
        <w:rPr>
          <w:sz w:val="20"/>
          <w:szCs w:val="20"/>
          <w:lang w:val="en-US"/>
        </w:rPr>
      </w:pPr>
    </w:p>
    <w:p w14:paraId="0E115551" w14:textId="2FAAF46D" w:rsidR="002316EB" w:rsidRDefault="00FA373F" w:rsidP="0089552B">
      <w:pPr>
        <w:spacing w:after="0" w:line="240" w:lineRule="auto"/>
        <w:ind w:left="709" w:hanging="709"/>
        <w:jc w:val="both"/>
        <w:rPr>
          <w:sz w:val="20"/>
          <w:szCs w:val="20"/>
        </w:rPr>
      </w:pPr>
      <w:r>
        <w:rPr>
          <w:sz w:val="20"/>
          <w:szCs w:val="20"/>
        </w:rPr>
        <w:lastRenderedPageBreak/>
        <w:t xml:space="preserve">Gutiérrez Fernández, M., Palomo Zurdo, R. J. y Fernández </w:t>
      </w:r>
      <w:proofErr w:type="spellStart"/>
      <w:r>
        <w:rPr>
          <w:sz w:val="20"/>
          <w:szCs w:val="20"/>
        </w:rPr>
        <w:t>Barberís</w:t>
      </w:r>
      <w:proofErr w:type="spellEnd"/>
      <w:r>
        <w:rPr>
          <w:sz w:val="20"/>
          <w:szCs w:val="20"/>
        </w:rPr>
        <w:t xml:space="preserve">, G. (2013). Las cajas de ahorros españolas: ¿una pretendida reordenación bajo criterios de racionalidad económica y social? </w:t>
      </w:r>
      <w:r>
        <w:rPr>
          <w:i/>
          <w:sz w:val="20"/>
          <w:szCs w:val="20"/>
        </w:rPr>
        <w:t>Cuadernos de Economía y Dirección de la Empresa</w:t>
      </w:r>
      <w:r>
        <w:rPr>
          <w:sz w:val="20"/>
          <w:szCs w:val="20"/>
        </w:rPr>
        <w:t xml:space="preserve">, </w:t>
      </w:r>
      <w:r>
        <w:rPr>
          <w:i/>
          <w:sz w:val="20"/>
          <w:szCs w:val="20"/>
        </w:rPr>
        <w:t>16</w:t>
      </w:r>
      <w:r>
        <w:rPr>
          <w:sz w:val="20"/>
          <w:szCs w:val="20"/>
        </w:rPr>
        <w:t xml:space="preserve">(4), 250-258. </w:t>
      </w:r>
      <w:hyperlink r:id="rId32" w:history="1">
        <w:r w:rsidR="0089552B" w:rsidRPr="00604172">
          <w:rPr>
            <w:rStyle w:val="Hipervnculo"/>
            <w:sz w:val="20"/>
            <w:szCs w:val="20"/>
          </w:rPr>
          <w:t>https://doi.org/10.1016/j.cede.2012.12.001</w:t>
        </w:r>
      </w:hyperlink>
    </w:p>
    <w:p w14:paraId="61D87BB3" w14:textId="77777777" w:rsidR="0089552B" w:rsidRDefault="0089552B" w:rsidP="0089552B">
      <w:pPr>
        <w:spacing w:after="0" w:line="240" w:lineRule="auto"/>
        <w:ind w:left="709" w:hanging="709"/>
        <w:jc w:val="both"/>
        <w:rPr>
          <w:sz w:val="20"/>
          <w:szCs w:val="20"/>
        </w:rPr>
      </w:pPr>
    </w:p>
    <w:p w14:paraId="4A02B9ED" w14:textId="4C6FCFB1" w:rsidR="002316EB" w:rsidRDefault="00FA373F" w:rsidP="0089552B">
      <w:pPr>
        <w:spacing w:after="0" w:line="240" w:lineRule="auto"/>
        <w:ind w:left="709" w:hanging="709"/>
        <w:jc w:val="both"/>
        <w:rPr>
          <w:sz w:val="20"/>
          <w:szCs w:val="20"/>
          <w:lang w:val="en-US"/>
        </w:rPr>
      </w:pPr>
      <w:proofErr w:type="gramStart"/>
      <w:r w:rsidRPr="00B8669F">
        <w:rPr>
          <w:sz w:val="20"/>
          <w:szCs w:val="20"/>
          <w:lang w:val="en-US"/>
        </w:rPr>
        <w:t xml:space="preserve">Hair, J., </w:t>
      </w:r>
      <w:proofErr w:type="spellStart"/>
      <w:r w:rsidRPr="00B8669F">
        <w:rPr>
          <w:sz w:val="20"/>
          <w:szCs w:val="20"/>
          <w:lang w:val="en-US"/>
        </w:rPr>
        <w:t>Hult</w:t>
      </w:r>
      <w:proofErr w:type="spellEnd"/>
      <w:r w:rsidRPr="00B8669F">
        <w:rPr>
          <w:sz w:val="20"/>
          <w:szCs w:val="20"/>
          <w:lang w:val="en-US"/>
        </w:rPr>
        <w:t xml:space="preserve">, T., </w:t>
      </w:r>
      <w:proofErr w:type="spellStart"/>
      <w:r w:rsidRPr="00B8669F">
        <w:rPr>
          <w:sz w:val="20"/>
          <w:szCs w:val="20"/>
          <w:lang w:val="en-US"/>
        </w:rPr>
        <w:t>Ringle</w:t>
      </w:r>
      <w:proofErr w:type="spellEnd"/>
      <w:r w:rsidRPr="00B8669F">
        <w:rPr>
          <w:sz w:val="20"/>
          <w:szCs w:val="20"/>
          <w:lang w:val="en-US"/>
        </w:rPr>
        <w:t xml:space="preserve">, C. y </w:t>
      </w:r>
      <w:proofErr w:type="spellStart"/>
      <w:r w:rsidRPr="00B8669F">
        <w:rPr>
          <w:sz w:val="20"/>
          <w:szCs w:val="20"/>
          <w:lang w:val="en-US"/>
        </w:rPr>
        <w:t>Sarstedt</w:t>
      </w:r>
      <w:proofErr w:type="spellEnd"/>
      <w:r w:rsidRPr="00B8669F">
        <w:rPr>
          <w:sz w:val="20"/>
          <w:szCs w:val="20"/>
          <w:lang w:val="en-US"/>
        </w:rPr>
        <w:t>, M. (2017).</w:t>
      </w:r>
      <w:proofErr w:type="gramEnd"/>
      <w:r w:rsidRPr="00B8669F">
        <w:rPr>
          <w:sz w:val="20"/>
          <w:szCs w:val="20"/>
          <w:lang w:val="en-US"/>
        </w:rPr>
        <w:t xml:space="preserve"> </w:t>
      </w:r>
      <w:r w:rsidRPr="00B8669F">
        <w:rPr>
          <w:i/>
          <w:sz w:val="20"/>
          <w:szCs w:val="20"/>
          <w:lang w:val="en-US"/>
        </w:rPr>
        <w:t>A Primer on Partial Least Square Structural Equation Modeling (PLS-SEM)</w:t>
      </w:r>
      <w:r w:rsidRPr="00B8669F">
        <w:rPr>
          <w:sz w:val="20"/>
          <w:szCs w:val="20"/>
          <w:lang w:val="en-US"/>
        </w:rPr>
        <w:t xml:space="preserve"> (2ª </w:t>
      </w:r>
      <w:proofErr w:type="gramStart"/>
      <w:r w:rsidRPr="00B8669F">
        <w:rPr>
          <w:sz w:val="20"/>
          <w:szCs w:val="20"/>
          <w:lang w:val="en-US"/>
        </w:rPr>
        <w:t>ed</w:t>
      </w:r>
      <w:proofErr w:type="gramEnd"/>
      <w:r w:rsidRPr="00B8669F">
        <w:rPr>
          <w:sz w:val="20"/>
          <w:szCs w:val="20"/>
          <w:lang w:val="en-US"/>
        </w:rPr>
        <w:t xml:space="preserve">.). </w:t>
      </w:r>
      <w:proofErr w:type="gramStart"/>
      <w:r w:rsidRPr="00B8669F">
        <w:rPr>
          <w:sz w:val="20"/>
          <w:szCs w:val="20"/>
          <w:lang w:val="en-US"/>
        </w:rPr>
        <w:t>Sage Publications.</w:t>
      </w:r>
      <w:proofErr w:type="gramEnd"/>
    </w:p>
    <w:p w14:paraId="787F87D3" w14:textId="77777777" w:rsidR="0089552B" w:rsidRPr="00B8669F" w:rsidRDefault="0089552B" w:rsidP="0089552B">
      <w:pPr>
        <w:spacing w:after="0" w:line="240" w:lineRule="auto"/>
        <w:ind w:left="709" w:hanging="709"/>
        <w:jc w:val="both"/>
        <w:rPr>
          <w:sz w:val="20"/>
          <w:szCs w:val="20"/>
          <w:lang w:val="en-US"/>
        </w:rPr>
      </w:pPr>
    </w:p>
    <w:p w14:paraId="65A38719" w14:textId="028D62FD" w:rsidR="002316EB" w:rsidRDefault="00FA373F" w:rsidP="0089552B">
      <w:pPr>
        <w:spacing w:after="0" w:line="240" w:lineRule="auto"/>
        <w:ind w:left="709" w:hanging="709"/>
        <w:jc w:val="both"/>
        <w:rPr>
          <w:sz w:val="20"/>
          <w:szCs w:val="20"/>
          <w:lang w:val="en-US"/>
        </w:rPr>
      </w:pPr>
      <w:proofErr w:type="spellStart"/>
      <w:r w:rsidRPr="00B8669F">
        <w:rPr>
          <w:sz w:val="20"/>
          <w:szCs w:val="20"/>
          <w:lang w:val="en-US"/>
        </w:rPr>
        <w:t>Henseler</w:t>
      </w:r>
      <w:proofErr w:type="spellEnd"/>
      <w:r w:rsidRPr="00B8669F">
        <w:rPr>
          <w:sz w:val="20"/>
          <w:szCs w:val="20"/>
          <w:lang w:val="en-US"/>
        </w:rPr>
        <w:t xml:space="preserve">, J., </w:t>
      </w:r>
      <w:proofErr w:type="spellStart"/>
      <w:r w:rsidRPr="00B8669F">
        <w:rPr>
          <w:sz w:val="20"/>
          <w:szCs w:val="20"/>
          <w:lang w:val="en-US"/>
        </w:rPr>
        <w:t>Ringle</w:t>
      </w:r>
      <w:proofErr w:type="spellEnd"/>
      <w:r w:rsidRPr="00B8669F">
        <w:rPr>
          <w:sz w:val="20"/>
          <w:szCs w:val="20"/>
          <w:lang w:val="en-US"/>
        </w:rPr>
        <w:t xml:space="preserve">, C. y </w:t>
      </w:r>
      <w:proofErr w:type="spellStart"/>
      <w:r w:rsidRPr="00B8669F">
        <w:rPr>
          <w:sz w:val="20"/>
          <w:szCs w:val="20"/>
          <w:lang w:val="en-US"/>
        </w:rPr>
        <w:t>Sinkovics</w:t>
      </w:r>
      <w:proofErr w:type="spellEnd"/>
      <w:r w:rsidRPr="00B8669F">
        <w:rPr>
          <w:sz w:val="20"/>
          <w:szCs w:val="20"/>
          <w:lang w:val="en-US"/>
        </w:rPr>
        <w:t xml:space="preserve">, R. (2009). The use of partial least squares path modeling in international marketing. </w:t>
      </w:r>
      <w:proofErr w:type="spellStart"/>
      <w:proofErr w:type="gramStart"/>
      <w:r w:rsidRPr="00B8669F">
        <w:rPr>
          <w:sz w:val="20"/>
          <w:szCs w:val="20"/>
          <w:lang w:val="en-US"/>
        </w:rPr>
        <w:t>En</w:t>
      </w:r>
      <w:proofErr w:type="spellEnd"/>
      <w:r w:rsidRPr="00B8669F">
        <w:rPr>
          <w:sz w:val="20"/>
          <w:szCs w:val="20"/>
          <w:lang w:val="en-US"/>
        </w:rPr>
        <w:t xml:space="preserve"> R. </w:t>
      </w:r>
      <w:proofErr w:type="spellStart"/>
      <w:r w:rsidRPr="00B8669F">
        <w:rPr>
          <w:sz w:val="20"/>
          <w:szCs w:val="20"/>
          <w:lang w:val="en-US"/>
        </w:rPr>
        <w:t>Sinkovics</w:t>
      </w:r>
      <w:proofErr w:type="spellEnd"/>
      <w:r w:rsidRPr="00B8669F">
        <w:rPr>
          <w:sz w:val="20"/>
          <w:szCs w:val="20"/>
          <w:lang w:val="en-US"/>
        </w:rPr>
        <w:t xml:space="preserve"> y P. </w:t>
      </w:r>
      <w:proofErr w:type="spellStart"/>
      <w:r w:rsidRPr="00B8669F">
        <w:rPr>
          <w:sz w:val="20"/>
          <w:szCs w:val="20"/>
          <w:lang w:val="en-US"/>
        </w:rPr>
        <w:t>Ghauri</w:t>
      </w:r>
      <w:proofErr w:type="spellEnd"/>
      <w:r w:rsidRPr="00B8669F">
        <w:rPr>
          <w:sz w:val="20"/>
          <w:szCs w:val="20"/>
          <w:lang w:val="en-US"/>
        </w:rPr>
        <w:t xml:space="preserve"> (Eds.), </w:t>
      </w:r>
      <w:r w:rsidRPr="00B8669F">
        <w:rPr>
          <w:i/>
          <w:sz w:val="20"/>
          <w:szCs w:val="20"/>
          <w:lang w:val="en-US"/>
        </w:rPr>
        <w:t>New Challenges to International Marketing (Advances in International Marketing, Vol. 20)</w:t>
      </w:r>
      <w:r w:rsidRPr="00B8669F">
        <w:rPr>
          <w:sz w:val="20"/>
          <w:szCs w:val="20"/>
          <w:lang w:val="en-US"/>
        </w:rPr>
        <w:t xml:space="preserve"> (pp. 277-319).</w:t>
      </w:r>
      <w:proofErr w:type="gramEnd"/>
      <w:r w:rsidRPr="00B8669F">
        <w:rPr>
          <w:sz w:val="20"/>
          <w:szCs w:val="20"/>
          <w:lang w:val="en-US"/>
        </w:rPr>
        <w:t xml:space="preserve"> Emerald Group Publishing Limited. </w:t>
      </w:r>
      <w:hyperlink r:id="rId33" w:history="1">
        <w:r w:rsidR="0089552B" w:rsidRPr="00604172">
          <w:rPr>
            <w:rStyle w:val="Hipervnculo"/>
            <w:sz w:val="20"/>
            <w:szCs w:val="20"/>
            <w:lang w:val="en-US"/>
          </w:rPr>
          <w:t>https://doi.org/10.1108/S1474-7979(2009)0000020014</w:t>
        </w:r>
      </w:hyperlink>
    </w:p>
    <w:p w14:paraId="11F432BA" w14:textId="77777777" w:rsidR="0089552B" w:rsidRPr="00B8669F" w:rsidRDefault="0089552B" w:rsidP="0089552B">
      <w:pPr>
        <w:spacing w:after="0" w:line="240" w:lineRule="auto"/>
        <w:ind w:left="709" w:hanging="709"/>
        <w:jc w:val="both"/>
        <w:rPr>
          <w:sz w:val="20"/>
          <w:szCs w:val="20"/>
          <w:lang w:val="en-US"/>
        </w:rPr>
      </w:pPr>
    </w:p>
    <w:p w14:paraId="4D82A74B" w14:textId="051B39CA" w:rsidR="002316EB" w:rsidRDefault="00FA373F" w:rsidP="0089552B">
      <w:pPr>
        <w:spacing w:after="0" w:line="240" w:lineRule="auto"/>
        <w:ind w:left="709" w:hanging="709"/>
        <w:jc w:val="both"/>
        <w:rPr>
          <w:sz w:val="20"/>
          <w:szCs w:val="20"/>
          <w:lang w:val="en-US"/>
        </w:rPr>
      </w:pPr>
      <w:r w:rsidRPr="003729BD">
        <w:rPr>
          <w:sz w:val="20"/>
          <w:szCs w:val="20"/>
          <w:lang w:val="es-AR"/>
        </w:rPr>
        <w:t>Hernández-</w:t>
      </w:r>
      <w:proofErr w:type="spellStart"/>
      <w:r w:rsidRPr="003729BD">
        <w:rPr>
          <w:sz w:val="20"/>
          <w:szCs w:val="20"/>
          <w:lang w:val="es-AR"/>
        </w:rPr>
        <w:t>Sampieri</w:t>
      </w:r>
      <w:proofErr w:type="spellEnd"/>
      <w:r w:rsidRPr="003729BD">
        <w:rPr>
          <w:sz w:val="20"/>
          <w:szCs w:val="20"/>
          <w:lang w:val="es-AR"/>
        </w:rPr>
        <w:t xml:space="preserve">, R. y Mendoza, C. (2018). </w:t>
      </w:r>
      <w:r>
        <w:rPr>
          <w:i/>
          <w:sz w:val="20"/>
          <w:szCs w:val="20"/>
        </w:rPr>
        <w:t>Metodología de la investigación. Las rutas cuantitativa, cualitativa y mixta</w:t>
      </w:r>
      <w:r>
        <w:rPr>
          <w:sz w:val="20"/>
          <w:szCs w:val="20"/>
        </w:rPr>
        <w:t xml:space="preserve">. </w:t>
      </w:r>
      <w:proofErr w:type="gramStart"/>
      <w:r w:rsidRPr="00B8669F">
        <w:rPr>
          <w:sz w:val="20"/>
          <w:szCs w:val="20"/>
          <w:lang w:val="en-US"/>
        </w:rPr>
        <w:t xml:space="preserve">Mc </w:t>
      </w:r>
      <w:proofErr w:type="spellStart"/>
      <w:r w:rsidRPr="00B8669F">
        <w:rPr>
          <w:sz w:val="20"/>
          <w:szCs w:val="20"/>
          <w:lang w:val="en-US"/>
        </w:rPr>
        <w:t>Graw</w:t>
      </w:r>
      <w:proofErr w:type="spellEnd"/>
      <w:r w:rsidRPr="00B8669F">
        <w:rPr>
          <w:sz w:val="20"/>
          <w:szCs w:val="20"/>
          <w:lang w:val="en-US"/>
        </w:rPr>
        <w:t xml:space="preserve"> Hill.</w:t>
      </w:r>
      <w:proofErr w:type="gramEnd"/>
    </w:p>
    <w:p w14:paraId="00849E81" w14:textId="77777777" w:rsidR="0089552B" w:rsidRPr="00B8669F" w:rsidRDefault="0089552B" w:rsidP="0089552B">
      <w:pPr>
        <w:spacing w:after="0" w:line="240" w:lineRule="auto"/>
        <w:ind w:left="709" w:hanging="709"/>
        <w:jc w:val="both"/>
        <w:rPr>
          <w:sz w:val="20"/>
          <w:szCs w:val="20"/>
          <w:lang w:val="en-US"/>
        </w:rPr>
      </w:pPr>
    </w:p>
    <w:p w14:paraId="2858C097" w14:textId="66099F4E" w:rsidR="002316EB" w:rsidRDefault="00FA373F" w:rsidP="0089552B">
      <w:pPr>
        <w:spacing w:after="0" w:line="240" w:lineRule="auto"/>
        <w:ind w:left="709" w:hanging="709"/>
        <w:jc w:val="both"/>
        <w:rPr>
          <w:sz w:val="20"/>
          <w:szCs w:val="20"/>
          <w:lang w:val="en-US"/>
        </w:rPr>
      </w:pPr>
      <w:proofErr w:type="spellStart"/>
      <w:r w:rsidRPr="00B8669F">
        <w:rPr>
          <w:sz w:val="20"/>
          <w:szCs w:val="20"/>
          <w:lang w:val="en-US"/>
        </w:rPr>
        <w:t>Kampakaki</w:t>
      </w:r>
      <w:proofErr w:type="spellEnd"/>
      <w:r w:rsidRPr="00B8669F">
        <w:rPr>
          <w:sz w:val="20"/>
          <w:szCs w:val="20"/>
          <w:lang w:val="en-US"/>
        </w:rPr>
        <w:t xml:space="preserve">, M. y </w:t>
      </w:r>
      <w:proofErr w:type="spellStart"/>
      <w:r w:rsidRPr="00B8669F">
        <w:rPr>
          <w:sz w:val="20"/>
          <w:szCs w:val="20"/>
          <w:lang w:val="en-US"/>
        </w:rPr>
        <w:t>Papathanasiou</w:t>
      </w:r>
      <w:proofErr w:type="spellEnd"/>
      <w:r w:rsidRPr="00B8669F">
        <w:rPr>
          <w:sz w:val="20"/>
          <w:szCs w:val="20"/>
          <w:lang w:val="en-US"/>
        </w:rPr>
        <w:t xml:space="preserve">, S. (2016). </w:t>
      </w:r>
      <w:proofErr w:type="gramStart"/>
      <w:r w:rsidRPr="00B8669F">
        <w:rPr>
          <w:sz w:val="20"/>
          <w:szCs w:val="20"/>
          <w:lang w:val="en-US"/>
        </w:rPr>
        <w:t>Electronic–Banking and Customer Satisfaction in Greece.</w:t>
      </w:r>
      <w:proofErr w:type="gramEnd"/>
      <w:r w:rsidRPr="00B8669F">
        <w:rPr>
          <w:sz w:val="20"/>
          <w:szCs w:val="20"/>
          <w:lang w:val="en-US"/>
        </w:rPr>
        <w:t xml:space="preserve"> </w:t>
      </w:r>
      <w:proofErr w:type="gramStart"/>
      <w:r w:rsidRPr="00B8669F">
        <w:rPr>
          <w:sz w:val="20"/>
          <w:szCs w:val="20"/>
          <w:lang w:val="en-US"/>
        </w:rPr>
        <w:t>The Case of Piraeus Bank.</w:t>
      </w:r>
      <w:proofErr w:type="gramEnd"/>
      <w:r w:rsidRPr="00B8669F">
        <w:rPr>
          <w:sz w:val="20"/>
          <w:szCs w:val="20"/>
          <w:lang w:val="en-US"/>
        </w:rPr>
        <w:t xml:space="preserve"> </w:t>
      </w:r>
      <w:r w:rsidRPr="00B8669F">
        <w:rPr>
          <w:i/>
          <w:sz w:val="20"/>
          <w:szCs w:val="20"/>
          <w:lang w:val="en-US"/>
        </w:rPr>
        <w:t>Annals of Management Science</w:t>
      </w:r>
      <w:r w:rsidRPr="00B8669F">
        <w:rPr>
          <w:sz w:val="20"/>
          <w:szCs w:val="20"/>
          <w:lang w:val="en-US"/>
        </w:rPr>
        <w:t xml:space="preserve">, </w:t>
      </w:r>
      <w:r w:rsidRPr="00B8669F">
        <w:rPr>
          <w:i/>
          <w:sz w:val="20"/>
          <w:szCs w:val="20"/>
          <w:lang w:val="en-US"/>
        </w:rPr>
        <w:t>5</w:t>
      </w:r>
      <w:r w:rsidRPr="00B8669F">
        <w:rPr>
          <w:sz w:val="20"/>
          <w:szCs w:val="20"/>
          <w:lang w:val="en-US"/>
        </w:rPr>
        <w:t xml:space="preserve">(1), 55-68. </w:t>
      </w:r>
      <w:hyperlink r:id="rId34" w:history="1">
        <w:r w:rsidR="0089552B" w:rsidRPr="00604172">
          <w:rPr>
            <w:rStyle w:val="Hipervnculo"/>
            <w:sz w:val="20"/>
            <w:szCs w:val="20"/>
            <w:lang w:val="en-US"/>
          </w:rPr>
          <w:t>https://ssrn.com/abstract=2925828</w:t>
        </w:r>
      </w:hyperlink>
    </w:p>
    <w:p w14:paraId="6A8FCB56" w14:textId="77777777" w:rsidR="0089552B" w:rsidRPr="00B8669F" w:rsidRDefault="0089552B" w:rsidP="0089552B">
      <w:pPr>
        <w:spacing w:after="0" w:line="240" w:lineRule="auto"/>
        <w:ind w:left="709" w:hanging="709"/>
        <w:jc w:val="both"/>
        <w:rPr>
          <w:sz w:val="20"/>
          <w:szCs w:val="20"/>
          <w:lang w:val="en-US"/>
        </w:rPr>
      </w:pPr>
    </w:p>
    <w:p w14:paraId="6FE11A3F" w14:textId="1A316AA0" w:rsidR="002316EB" w:rsidRDefault="00FA373F" w:rsidP="0089552B">
      <w:pPr>
        <w:spacing w:after="0" w:line="240" w:lineRule="auto"/>
        <w:ind w:left="709" w:hanging="709"/>
        <w:jc w:val="both"/>
        <w:rPr>
          <w:sz w:val="20"/>
          <w:szCs w:val="20"/>
        </w:rPr>
      </w:pPr>
      <w:r w:rsidRPr="00B8669F">
        <w:rPr>
          <w:sz w:val="20"/>
          <w:szCs w:val="20"/>
          <w:lang w:val="en-US"/>
        </w:rPr>
        <w:t xml:space="preserve">Kotler, P., Bowen, J. T., Makens, J. y </w:t>
      </w:r>
      <w:proofErr w:type="spellStart"/>
      <w:r w:rsidRPr="00B8669F">
        <w:rPr>
          <w:sz w:val="20"/>
          <w:szCs w:val="20"/>
          <w:lang w:val="en-US"/>
        </w:rPr>
        <w:t>Baloglu</w:t>
      </w:r>
      <w:proofErr w:type="spellEnd"/>
      <w:r w:rsidRPr="00B8669F">
        <w:rPr>
          <w:sz w:val="20"/>
          <w:szCs w:val="20"/>
          <w:lang w:val="en-US"/>
        </w:rPr>
        <w:t xml:space="preserve">, S. (2017). </w:t>
      </w:r>
      <w:r w:rsidRPr="00B8669F">
        <w:rPr>
          <w:i/>
          <w:sz w:val="20"/>
          <w:szCs w:val="20"/>
          <w:lang w:val="en-US"/>
        </w:rPr>
        <w:t>Marketing for hospitality and tourism</w:t>
      </w:r>
      <w:r w:rsidRPr="00B8669F">
        <w:rPr>
          <w:sz w:val="20"/>
          <w:szCs w:val="20"/>
          <w:lang w:val="en-US"/>
        </w:rPr>
        <w:t xml:space="preserve"> (7ª </w:t>
      </w:r>
      <w:proofErr w:type="gramStart"/>
      <w:r w:rsidRPr="00B8669F">
        <w:rPr>
          <w:sz w:val="20"/>
          <w:szCs w:val="20"/>
          <w:lang w:val="en-US"/>
        </w:rPr>
        <w:t>ed</w:t>
      </w:r>
      <w:proofErr w:type="gramEnd"/>
      <w:r w:rsidRPr="00B8669F">
        <w:rPr>
          <w:sz w:val="20"/>
          <w:szCs w:val="20"/>
          <w:lang w:val="en-US"/>
        </w:rPr>
        <w:t xml:space="preserve">.). </w:t>
      </w:r>
      <w:r>
        <w:rPr>
          <w:sz w:val="20"/>
          <w:szCs w:val="20"/>
        </w:rPr>
        <w:t xml:space="preserve">Pearson </w:t>
      </w:r>
      <w:proofErr w:type="spellStart"/>
      <w:r>
        <w:rPr>
          <w:sz w:val="20"/>
          <w:szCs w:val="20"/>
        </w:rPr>
        <w:t>Education</w:t>
      </w:r>
      <w:proofErr w:type="spellEnd"/>
      <w:r>
        <w:rPr>
          <w:sz w:val="20"/>
          <w:szCs w:val="20"/>
        </w:rPr>
        <w:t>.</w:t>
      </w:r>
    </w:p>
    <w:p w14:paraId="74D43631" w14:textId="77777777" w:rsidR="0089552B" w:rsidRDefault="0089552B" w:rsidP="0089552B">
      <w:pPr>
        <w:spacing w:after="0" w:line="240" w:lineRule="auto"/>
        <w:ind w:left="709" w:hanging="709"/>
        <w:jc w:val="both"/>
        <w:rPr>
          <w:sz w:val="20"/>
          <w:szCs w:val="20"/>
        </w:rPr>
      </w:pPr>
    </w:p>
    <w:p w14:paraId="29B8E856" w14:textId="43986078" w:rsidR="002316EB" w:rsidRDefault="00FA373F" w:rsidP="0089552B">
      <w:pPr>
        <w:spacing w:after="0" w:line="240" w:lineRule="auto"/>
        <w:ind w:left="709" w:hanging="709"/>
        <w:jc w:val="both"/>
        <w:rPr>
          <w:sz w:val="20"/>
          <w:szCs w:val="20"/>
        </w:rPr>
      </w:pPr>
      <w:proofErr w:type="spellStart"/>
      <w:r>
        <w:rPr>
          <w:sz w:val="20"/>
          <w:szCs w:val="20"/>
        </w:rPr>
        <w:t>Lahura</w:t>
      </w:r>
      <w:proofErr w:type="spellEnd"/>
      <w:r>
        <w:rPr>
          <w:sz w:val="20"/>
          <w:szCs w:val="20"/>
        </w:rPr>
        <w:t xml:space="preserve">, E. (2016). Sistema financiero, informalidad y evasión tributaria en el Perú. </w:t>
      </w:r>
      <w:r>
        <w:rPr>
          <w:i/>
          <w:sz w:val="20"/>
          <w:szCs w:val="20"/>
        </w:rPr>
        <w:t xml:space="preserve">Revista Estudios Económicos </w:t>
      </w:r>
      <w:r>
        <w:rPr>
          <w:sz w:val="20"/>
          <w:szCs w:val="20"/>
        </w:rPr>
        <w:t xml:space="preserve">(32), 55-70. </w:t>
      </w:r>
      <w:hyperlink r:id="rId35" w:history="1">
        <w:r w:rsidR="0089552B" w:rsidRPr="00604172">
          <w:rPr>
            <w:rStyle w:val="Hipervnculo"/>
            <w:sz w:val="20"/>
            <w:szCs w:val="20"/>
          </w:rPr>
          <w:t>https://www.bcrp.gob.pe/docs/Publicaciones/Revista-Estudios-Economicos/32/ree-32-lahura.pdf</w:t>
        </w:r>
      </w:hyperlink>
    </w:p>
    <w:p w14:paraId="25AD0551" w14:textId="77777777" w:rsidR="0089552B" w:rsidRDefault="0089552B" w:rsidP="0089552B">
      <w:pPr>
        <w:spacing w:after="0" w:line="240" w:lineRule="auto"/>
        <w:ind w:left="709" w:hanging="709"/>
        <w:jc w:val="both"/>
        <w:rPr>
          <w:sz w:val="20"/>
          <w:szCs w:val="20"/>
        </w:rPr>
      </w:pPr>
    </w:p>
    <w:p w14:paraId="35B5F20D" w14:textId="47B9AE8A" w:rsidR="002316EB" w:rsidRDefault="00FA373F" w:rsidP="0089552B">
      <w:pPr>
        <w:spacing w:after="0" w:line="240" w:lineRule="auto"/>
        <w:ind w:left="709" w:hanging="709"/>
        <w:jc w:val="both"/>
        <w:rPr>
          <w:sz w:val="20"/>
          <w:szCs w:val="20"/>
        </w:rPr>
      </w:pPr>
      <w:r>
        <w:rPr>
          <w:sz w:val="20"/>
          <w:szCs w:val="20"/>
        </w:rPr>
        <w:t xml:space="preserve">León, J. (2018). Inclusión financiera de las microempresas y las pequeñas y medianas empresas en el Perú: el caso de la banca de desarrollo. En E. Pérez </w:t>
      </w:r>
      <w:proofErr w:type="spellStart"/>
      <w:r>
        <w:rPr>
          <w:sz w:val="20"/>
          <w:szCs w:val="20"/>
        </w:rPr>
        <w:t>Caldentey</w:t>
      </w:r>
      <w:proofErr w:type="spellEnd"/>
      <w:r>
        <w:rPr>
          <w:sz w:val="20"/>
          <w:szCs w:val="20"/>
        </w:rPr>
        <w:t xml:space="preserve"> y D. </w:t>
      </w:r>
      <w:proofErr w:type="spellStart"/>
      <w:r>
        <w:rPr>
          <w:sz w:val="20"/>
          <w:szCs w:val="20"/>
        </w:rPr>
        <w:t>Titelman</w:t>
      </w:r>
      <w:proofErr w:type="spellEnd"/>
      <w:r>
        <w:rPr>
          <w:sz w:val="20"/>
          <w:szCs w:val="20"/>
        </w:rPr>
        <w:t xml:space="preserve"> </w:t>
      </w:r>
      <w:proofErr w:type="spellStart"/>
      <w:r>
        <w:rPr>
          <w:sz w:val="20"/>
          <w:szCs w:val="20"/>
        </w:rPr>
        <w:t>Kardonsky</w:t>
      </w:r>
      <w:proofErr w:type="spellEnd"/>
      <w:r>
        <w:rPr>
          <w:sz w:val="20"/>
          <w:szCs w:val="20"/>
        </w:rPr>
        <w:t xml:space="preserve"> (Eds.), </w:t>
      </w:r>
      <w:r>
        <w:rPr>
          <w:i/>
          <w:sz w:val="20"/>
          <w:szCs w:val="20"/>
        </w:rPr>
        <w:t>La inclusión financiera para la inserción productiva y el papel de la banca de desarrollo</w:t>
      </w:r>
      <w:r>
        <w:rPr>
          <w:sz w:val="20"/>
          <w:szCs w:val="20"/>
        </w:rPr>
        <w:t xml:space="preserve"> (pp. 189-219). CEPAL.</w:t>
      </w:r>
    </w:p>
    <w:p w14:paraId="3969C0E5" w14:textId="77777777" w:rsidR="0089552B" w:rsidRDefault="0089552B" w:rsidP="0089552B">
      <w:pPr>
        <w:spacing w:after="0" w:line="240" w:lineRule="auto"/>
        <w:ind w:left="709" w:hanging="709"/>
        <w:jc w:val="both"/>
        <w:rPr>
          <w:sz w:val="20"/>
          <w:szCs w:val="20"/>
        </w:rPr>
      </w:pPr>
    </w:p>
    <w:p w14:paraId="2013A927" w14:textId="27E9F11B" w:rsidR="002316EB" w:rsidRDefault="00FA373F" w:rsidP="0089552B">
      <w:pPr>
        <w:spacing w:after="0" w:line="240" w:lineRule="auto"/>
        <w:ind w:left="709" w:hanging="709"/>
        <w:jc w:val="both"/>
        <w:rPr>
          <w:sz w:val="20"/>
          <w:szCs w:val="20"/>
        </w:rPr>
      </w:pPr>
      <w:r>
        <w:rPr>
          <w:sz w:val="20"/>
          <w:szCs w:val="20"/>
        </w:rPr>
        <w:t xml:space="preserve">Leyva Cordero, O. y </w:t>
      </w:r>
      <w:proofErr w:type="spellStart"/>
      <w:r>
        <w:rPr>
          <w:sz w:val="20"/>
          <w:szCs w:val="20"/>
        </w:rPr>
        <w:t>Olague</w:t>
      </w:r>
      <w:proofErr w:type="spellEnd"/>
      <w:r>
        <w:rPr>
          <w:sz w:val="20"/>
          <w:szCs w:val="20"/>
        </w:rPr>
        <w:t xml:space="preserve"> de la Cruz, J. T. (2014). Modelo de ecuaciones estructurales por el método de mínimos cuadrados parciales (</w:t>
      </w:r>
      <w:proofErr w:type="spellStart"/>
      <w:r>
        <w:rPr>
          <w:sz w:val="20"/>
          <w:szCs w:val="20"/>
        </w:rPr>
        <w:t>Partial</w:t>
      </w:r>
      <w:proofErr w:type="spellEnd"/>
      <w:r>
        <w:rPr>
          <w:sz w:val="20"/>
          <w:szCs w:val="20"/>
        </w:rPr>
        <w:t xml:space="preserve"> </w:t>
      </w:r>
      <w:proofErr w:type="spellStart"/>
      <w:r>
        <w:rPr>
          <w:sz w:val="20"/>
          <w:szCs w:val="20"/>
        </w:rPr>
        <w:t>Least</w:t>
      </w:r>
      <w:proofErr w:type="spellEnd"/>
      <w:r>
        <w:rPr>
          <w:sz w:val="20"/>
          <w:szCs w:val="20"/>
        </w:rPr>
        <w:t xml:space="preserve"> </w:t>
      </w:r>
      <w:proofErr w:type="spellStart"/>
      <w:r>
        <w:rPr>
          <w:sz w:val="20"/>
          <w:szCs w:val="20"/>
        </w:rPr>
        <w:t>Squares</w:t>
      </w:r>
      <w:proofErr w:type="spellEnd"/>
      <w:r>
        <w:rPr>
          <w:sz w:val="20"/>
          <w:szCs w:val="20"/>
        </w:rPr>
        <w:t>-PLS). En K. Sáenz y G. Tamez (</w:t>
      </w:r>
      <w:proofErr w:type="spellStart"/>
      <w:r>
        <w:rPr>
          <w:sz w:val="20"/>
          <w:szCs w:val="20"/>
        </w:rPr>
        <w:t>Coords</w:t>
      </w:r>
      <w:proofErr w:type="spellEnd"/>
      <w:r>
        <w:rPr>
          <w:sz w:val="20"/>
          <w:szCs w:val="20"/>
        </w:rPr>
        <w:t xml:space="preserve">.), </w:t>
      </w:r>
      <w:r>
        <w:rPr>
          <w:i/>
          <w:sz w:val="20"/>
          <w:szCs w:val="20"/>
        </w:rPr>
        <w:t>Métodos y técnicas cualitativas y cuantitativas aplicables a la investigación en ciencias sociales</w:t>
      </w:r>
      <w:r>
        <w:rPr>
          <w:sz w:val="20"/>
          <w:szCs w:val="20"/>
        </w:rPr>
        <w:t xml:space="preserve"> (pp. 480-497). Tirant Humanidades. </w:t>
      </w:r>
      <w:hyperlink r:id="rId36" w:history="1">
        <w:r w:rsidR="0089552B" w:rsidRPr="00604172">
          <w:rPr>
            <w:rStyle w:val="Hipervnculo"/>
            <w:sz w:val="20"/>
            <w:szCs w:val="20"/>
          </w:rPr>
          <w:t>http://eprints.uanl.mx/id/eprint/8583</w:t>
        </w:r>
      </w:hyperlink>
    </w:p>
    <w:p w14:paraId="619CAC1D" w14:textId="77777777" w:rsidR="0089552B" w:rsidRDefault="0089552B" w:rsidP="0089552B">
      <w:pPr>
        <w:spacing w:after="0" w:line="240" w:lineRule="auto"/>
        <w:ind w:left="709" w:hanging="709"/>
        <w:jc w:val="both"/>
        <w:rPr>
          <w:sz w:val="20"/>
          <w:szCs w:val="20"/>
        </w:rPr>
      </w:pPr>
    </w:p>
    <w:p w14:paraId="2D4CFB23" w14:textId="3F4080B0" w:rsidR="002316EB" w:rsidRDefault="00FA373F" w:rsidP="0089552B">
      <w:pPr>
        <w:spacing w:after="0" w:line="240" w:lineRule="auto"/>
        <w:ind w:left="709" w:hanging="709"/>
        <w:jc w:val="both"/>
        <w:rPr>
          <w:sz w:val="20"/>
          <w:szCs w:val="20"/>
        </w:rPr>
      </w:pPr>
      <w:r>
        <w:rPr>
          <w:sz w:val="20"/>
          <w:szCs w:val="20"/>
        </w:rPr>
        <w:t xml:space="preserve">Maguiña, M. E., Ramírez, E. H., Huerta, R. M. y Concepción, R. J. (2021). Microcrédito y desarrollo de las microempresas en las zonas rurales de Ancash, Perú. </w:t>
      </w:r>
      <w:r>
        <w:rPr>
          <w:i/>
          <w:sz w:val="20"/>
          <w:szCs w:val="20"/>
        </w:rPr>
        <w:t>CIENCIA ergo-sum</w:t>
      </w:r>
      <w:r>
        <w:rPr>
          <w:sz w:val="20"/>
          <w:szCs w:val="20"/>
        </w:rPr>
        <w:t xml:space="preserve">, </w:t>
      </w:r>
      <w:r>
        <w:rPr>
          <w:i/>
          <w:sz w:val="20"/>
          <w:szCs w:val="20"/>
        </w:rPr>
        <w:t>28</w:t>
      </w:r>
      <w:r>
        <w:rPr>
          <w:sz w:val="20"/>
          <w:szCs w:val="20"/>
        </w:rPr>
        <w:t xml:space="preserve">(1), e109.  </w:t>
      </w:r>
      <w:hyperlink r:id="rId37" w:history="1">
        <w:r w:rsidR="0089552B" w:rsidRPr="00604172">
          <w:rPr>
            <w:rStyle w:val="Hipervnculo"/>
            <w:sz w:val="20"/>
            <w:szCs w:val="20"/>
          </w:rPr>
          <w:t>https://cienciaergosum.uaemex.mx/article/view/12667</w:t>
        </w:r>
      </w:hyperlink>
    </w:p>
    <w:p w14:paraId="4D32EF60" w14:textId="77777777" w:rsidR="0089552B" w:rsidRDefault="0089552B" w:rsidP="0089552B">
      <w:pPr>
        <w:spacing w:after="0" w:line="240" w:lineRule="auto"/>
        <w:ind w:left="709" w:hanging="709"/>
        <w:jc w:val="both"/>
        <w:rPr>
          <w:sz w:val="20"/>
          <w:szCs w:val="20"/>
        </w:rPr>
      </w:pPr>
    </w:p>
    <w:p w14:paraId="7D4B2981" w14:textId="442C5E4D" w:rsidR="002316EB" w:rsidRDefault="00FA373F" w:rsidP="0089552B">
      <w:pPr>
        <w:spacing w:after="0" w:line="240" w:lineRule="auto"/>
        <w:ind w:left="709" w:hanging="709"/>
        <w:jc w:val="both"/>
        <w:rPr>
          <w:sz w:val="20"/>
          <w:szCs w:val="20"/>
        </w:rPr>
      </w:pPr>
      <w:r>
        <w:rPr>
          <w:sz w:val="20"/>
          <w:szCs w:val="20"/>
        </w:rPr>
        <w:t xml:space="preserve">Mariño-Mesías, R. M., Rodríguez-Antón, J. M. y Rubio-Andrada, L. (2015). ¿Cómo influye el capital humano en la calidad de servicio? Una aplicación al sector bancario andorrano. </w:t>
      </w:r>
      <w:r>
        <w:rPr>
          <w:i/>
          <w:sz w:val="20"/>
          <w:szCs w:val="20"/>
        </w:rPr>
        <w:t>Revista Española de Financiación y Contabilidad</w:t>
      </w:r>
      <w:r>
        <w:rPr>
          <w:sz w:val="20"/>
          <w:szCs w:val="20"/>
        </w:rPr>
        <w:t xml:space="preserve">, </w:t>
      </w:r>
      <w:r>
        <w:rPr>
          <w:i/>
          <w:sz w:val="20"/>
          <w:szCs w:val="20"/>
        </w:rPr>
        <w:t>44</w:t>
      </w:r>
      <w:r>
        <w:rPr>
          <w:sz w:val="20"/>
          <w:szCs w:val="20"/>
        </w:rPr>
        <w:t xml:space="preserve">(2), 146-179. </w:t>
      </w:r>
      <w:hyperlink r:id="rId38" w:history="1">
        <w:r w:rsidR="0089552B" w:rsidRPr="00604172">
          <w:rPr>
            <w:rStyle w:val="Hipervnculo"/>
            <w:sz w:val="20"/>
            <w:szCs w:val="20"/>
          </w:rPr>
          <w:t>https://doi.org/10.1080/02102412.2014.991126</w:t>
        </w:r>
      </w:hyperlink>
      <w:r>
        <w:rPr>
          <w:sz w:val="20"/>
          <w:szCs w:val="20"/>
        </w:rPr>
        <w:t xml:space="preserve"> </w:t>
      </w:r>
    </w:p>
    <w:p w14:paraId="13F92DFA" w14:textId="77777777" w:rsidR="0089552B" w:rsidRDefault="0089552B" w:rsidP="0089552B">
      <w:pPr>
        <w:spacing w:after="0" w:line="240" w:lineRule="auto"/>
        <w:ind w:left="709" w:hanging="709"/>
        <w:jc w:val="both"/>
        <w:rPr>
          <w:sz w:val="20"/>
          <w:szCs w:val="20"/>
        </w:rPr>
      </w:pPr>
    </w:p>
    <w:p w14:paraId="4784381E" w14:textId="2091E4F5" w:rsidR="002316EB" w:rsidRDefault="00FA373F" w:rsidP="0089552B">
      <w:pPr>
        <w:spacing w:after="0" w:line="240" w:lineRule="auto"/>
        <w:ind w:left="709" w:hanging="709"/>
        <w:jc w:val="both"/>
        <w:rPr>
          <w:sz w:val="20"/>
          <w:szCs w:val="20"/>
        </w:rPr>
      </w:pPr>
      <w:r>
        <w:rPr>
          <w:sz w:val="20"/>
          <w:szCs w:val="20"/>
        </w:rPr>
        <w:t xml:space="preserve">Martínez Ávila, M. y Fierro Moreno, E. (2018). Aplicación de la técnica PLS-SEM en la gestión del conocimiento: un enfoque técnico práctico. </w:t>
      </w:r>
      <w:r>
        <w:rPr>
          <w:i/>
          <w:sz w:val="20"/>
          <w:szCs w:val="20"/>
        </w:rPr>
        <w:t>RIDE.</w:t>
      </w:r>
      <w:r>
        <w:rPr>
          <w:sz w:val="20"/>
          <w:szCs w:val="20"/>
        </w:rPr>
        <w:t xml:space="preserve"> </w:t>
      </w:r>
      <w:r>
        <w:rPr>
          <w:i/>
          <w:sz w:val="20"/>
          <w:szCs w:val="20"/>
        </w:rPr>
        <w:t>Revista Iberoamericana para la Investigación y el Desarrollo Educativo</w:t>
      </w:r>
      <w:r>
        <w:rPr>
          <w:sz w:val="20"/>
          <w:szCs w:val="20"/>
        </w:rPr>
        <w:t xml:space="preserve">, </w:t>
      </w:r>
      <w:r>
        <w:rPr>
          <w:i/>
          <w:sz w:val="20"/>
          <w:szCs w:val="20"/>
        </w:rPr>
        <w:t>8</w:t>
      </w:r>
      <w:r>
        <w:rPr>
          <w:sz w:val="20"/>
          <w:szCs w:val="20"/>
        </w:rPr>
        <w:t xml:space="preserve">(16), 130-164. </w:t>
      </w:r>
      <w:hyperlink r:id="rId39" w:history="1">
        <w:r w:rsidR="0089552B" w:rsidRPr="00604172">
          <w:rPr>
            <w:rStyle w:val="Hipervnculo"/>
            <w:sz w:val="20"/>
            <w:szCs w:val="20"/>
          </w:rPr>
          <w:t>https://doi.org/10.23913/ride.v8i16.336</w:t>
        </w:r>
      </w:hyperlink>
    </w:p>
    <w:p w14:paraId="7A3B1626" w14:textId="77777777" w:rsidR="0089552B" w:rsidRDefault="0089552B" w:rsidP="0089552B">
      <w:pPr>
        <w:spacing w:after="0" w:line="240" w:lineRule="auto"/>
        <w:ind w:left="709" w:hanging="709"/>
        <w:jc w:val="both"/>
        <w:rPr>
          <w:sz w:val="20"/>
          <w:szCs w:val="20"/>
        </w:rPr>
      </w:pPr>
    </w:p>
    <w:p w14:paraId="3669B349" w14:textId="698A73F1" w:rsidR="002316EB" w:rsidRDefault="00FA373F" w:rsidP="0089552B">
      <w:pPr>
        <w:spacing w:after="0" w:line="240" w:lineRule="auto"/>
        <w:ind w:left="709" w:hanging="709"/>
        <w:jc w:val="both"/>
        <w:rPr>
          <w:sz w:val="20"/>
          <w:szCs w:val="20"/>
          <w:lang w:val="en-US"/>
        </w:rPr>
      </w:pPr>
      <w:r>
        <w:rPr>
          <w:sz w:val="20"/>
          <w:szCs w:val="20"/>
        </w:rPr>
        <w:t>Martín-Oliver, A., Ruano, S. y Salas-</w:t>
      </w:r>
      <w:proofErr w:type="spellStart"/>
      <w:r>
        <w:rPr>
          <w:sz w:val="20"/>
          <w:szCs w:val="20"/>
        </w:rPr>
        <w:t>Fumás</w:t>
      </w:r>
      <w:proofErr w:type="spellEnd"/>
      <w:r>
        <w:rPr>
          <w:sz w:val="20"/>
          <w:szCs w:val="20"/>
        </w:rPr>
        <w:t xml:space="preserve">, V. (2017). </w:t>
      </w:r>
      <w:r w:rsidRPr="00B8669F">
        <w:rPr>
          <w:sz w:val="20"/>
          <w:szCs w:val="20"/>
          <w:lang w:val="en-US"/>
        </w:rPr>
        <w:t xml:space="preserve">The fall of Spanish </w:t>
      </w:r>
      <w:proofErr w:type="spellStart"/>
      <w:r w:rsidRPr="00B8669F">
        <w:rPr>
          <w:sz w:val="20"/>
          <w:szCs w:val="20"/>
          <w:lang w:val="en-US"/>
        </w:rPr>
        <w:t>cajas</w:t>
      </w:r>
      <w:proofErr w:type="spellEnd"/>
      <w:r w:rsidRPr="00B8669F">
        <w:rPr>
          <w:sz w:val="20"/>
          <w:szCs w:val="20"/>
          <w:lang w:val="en-US"/>
        </w:rPr>
        <w:t xml:space="preserve">: Lessons of ownership and governance for banks. </w:t>
      </w:r>
      <w:r w:rsidRPr="00B8669F">
        <w:rPr>
          <w:i/>
          <w:sz w:val="20"/>
          <w:szCs w:val="20"/>
          <w:lang w:val="en-US"/>
        </w:rPr>
        <w:t>Journal of Financial Stability</w:t>
      </w:r>
      <w:r w:rsidRPr="00B8669F">
        <w:rPr>
          <w:sz w:val="20"/>
          <w:szCs w:val="20"/>
          <w:lang w:val="en-US"/>
        </w:rPr>
        <w:t xml:space="preserve">, </w:t>
      </w:r>
      <w:r w:rsidRPr="00B8669F">
        <w:rPr>
          <w:i/>
          <w:sz w:val="20"/>
          <w:szCs w:val="20"/>
          <w:lang w:val="en-US"/>
        </w:rPr>
        <w:t>33</w:t>
      </w:r>
      <w:r w:rsidRPr="00B8669F">
        <w:rPr>
          <w:sz w:val="20"/>
          <w:szCs w:val="20"/>
          <w:lang w:val="en-US"/>
        </w:rPr>
        <w:t xml:space="preserve">, 244-260. </w:t>
      </w:r>
      <w:hyperlink r:id="rId40" w:history="1">
        <w:r w:rsidR="0089552B" w:rsidRPr="00604172">
          <w:rPr>
            <w:rStyle w:val="Hipervnculo"/>
            <w:sz w:val="20"/>
            <w:szCs w:val="20"/>
            <w:lang w:val="en-US"/>
          </w:rPr>
          <w:t>https://doi.org/10.1016/j.jfs.2017.02.004</w:t>
        </w:r>
      </w:hyperlink>
    </w:p>
    <w:p w14:paraId="37E50CE1" w14:textId="77777777" w:rsidR="0089552B" w:rsidRPr="00B8669F" w:rsidRDefault="0089552B" w:rsidP="0089552B">
      <w:pPr>
        <w:spacing w:after="0" w:line="240" w:lineRule="auto"/>
        <w:ind w:left="709" w:hanging="709"/>
        <w:jc w:val="both"/>
        <w:rPr>
          <w:sz w:val="20"/>
          <w:szCs w:val="20"/>
          <w:lang w:val="en-US"/>
        </w:rPr>
      </w:pPr>
    </w:p>
    <w:p w14:paraId="100FCFF0" w14:textId="7F8EDADC" w:rsidR="002316EB" w:rsidRDefault="00FA373F" w:rsidP="0089552B">
      <w:pPr>
        <w:spacing w:after="0" w:line="240" w:lineRule="auto"/>
        <w:ind w:left="709" w:hanging="709"/>
        <w:jc w:val="both"/>
        <w:rPr>
          <w:sz w:val="20"/>
          <w:szCs w:val="20"/>
          <w:lang w:val="en-US"/>
        </w:rPr>
      </w:pPr>
      <w:r w:rsidRPr="003729BD">
        <w:rPr>
          <w:sz w:val="20"/>
          <w:szCs w:val="20"/>
          <w:lang w:val="es-AR"/>
        </w:rPr>
        <w:lastRenderedPageBreak/>
        <w:t xml:space="preserve">Mendiola, A., Aguirre, C., Aguilar, J., </w:t>
      </w:r>
      <w:proofErr w:type="spellStart"/>
      <w:r w:rsidRPr="003729BD">
        <w:rPr>
          <w:sz w:val="20"/>
          <w:szCs w:val="20"/>
          <w:lang w:val="es-AR"/>
        </w:rPr>
        <w:t>Chauca</w:t>
      </w:r>
      <w:proofErr w:type="spellEnd"/>
      <w:r w:rsidRPr="003729BD">
        <w:rPr>
          <w:sz w:val="20"/>
          <w:szCs w:val="20"/>
          <w:lang w:val="es-AR"/>
        </w:rPr>
        <w:t xml:space="preserve">, P., Dávila, M. y </w:t>
      </w:r>
      <w:proofErr w:type="spellStart"/>
      <w:r w:rsidRPr="003729BD">
        <w:rPr>
          <w:sz w:val="20"/>
          <w:szCs w:val="20"/>
          <w:lang w:val="es-AR"/>
        </w:rPr>
        <w:t>Palhua</w:t>
      </w:r>
      <w:proofErr w:type="spellEnd"/>
      <w:r w:rsidRPr="003729BD">
        <w:rPr>
          <w:sz w:val="20"/>
          <w:szCs w:val="20"/>
          <w:lang w:val="es-AR"/>
        </w:rPr>
        <w:t xml:space="preserve">, M. (2015). </w:t>
      </w:r>
      <w:r>
        <w:rPr>
          <w:i/>
          <w:sz w:val="20"/>
          <w:szCs w:val="20"/>
        </w:rPr>
        <w:t>Sostenibilidad y Rentabilidad de las Cajas Municipales de Ahorro y Crédito en el Perú</w:t>
      </w:r>
      <w:r>
        <w:rPr>
          <w:sz w:val="20"/>
          <w:szCs w:val="20"/>
        </w:rPr>
        <w:t xml:space="preserve">. </w:t>
      </w:r>
      <w:r w:rsidRPr="00B8669F">
        <w:rPr>
          <w:sz w:val="20"/>
          <w:szCs w:val="20"/>
          <w:lang w:val="en-US"/>
        </w:rPr>
        <w:t>Universidad ESAN.</w:t>
      </w:r>
    </w:p>
    <w:p w14:paraId="266F22DC" w14:textId="77777777" w:rsidR="0089552B" w:rsidRPr="00B8669F" w:rsidRDefault="0089552B" w:rsidP="0089552B">
      <w:pPr>
        <w:spacing w:after="0" w:line="240" w:lineRule="auto"/>
        <w:ind w:left="709" w:hanging="709"/>
        <w:jc w:val="both"/>
        <w:rPr>
          <w:sz w:val="20"/>
          <w:szCs w:val="20"/>
          <w:lang w:val="en-US"/>
        </w:rPr>
      </w:pPr>
    </w:p>
    <w:p w14:paraId="49A8EA8D" w14:textId="5AACE79B" w:rsidR="002316EB" w:rsidRPr="003F5529" w:rsidRDefault="00FA373F" w:rsidP="0089552B">
      <w:pPr>
        <w:spacing w:after="0" w:line="240" w:lineRule="auto"/>
        <w:ind w:left="709" w:hanging="709"/>
        <w:jc w:val="both"/>
        <w:rPr>
          <w:sz w:val="20"/>
          <w:szCs w:val="20"/>
          <w:lang w:val="es-AR"/>
        </w:rPr>
      </w:pPr>
      <w:proofErr w:type="spellStart"/>
      <w:r w:rsidRPr="003729BD">
        <w:rPr>
          <w:sz w:val="20"/>
          <w:szCs w:val="20"/>
          <w:lang w:val="es-AR"/>
        </w:rPr>
        <w:t>Monferrer</w:t>
      </w:r>
      <w:proofErr w:type="spellEnd"/>
      <w:r w:rsidRPr="003729BD">
        <w:rPr>
          <w:sz w:val="20"/>
          <w:szCs w:val="20"/>
          <w:lang w:val="es-AR"/>
        </w:rPr>
        <w:t xml:space="preserve">, D., Moliner, M. y Estrada, M. (2019). </w:t>
      </w:r>
      <w:proofErr w:type="gramStart"/>
      <w:r w:rsidRPr="00B8669F">
        <w:rPr>
          <w:sz w:val="20"/>
          <w:szCs w:val="20"/>
          <w:lang w:val="en-US"/>
        </w:rPr>
        <w:t>Increasing customer loyalty through customer engagement in the retail banking industry.</w:t>
      </w:r>
      <w:proofErr w:type="gramEnd"/>
      <w:r w:rsidRPr="00B8669F">
        <w:rPr>
          <w:sz w:val="20"/>
          <w:szCs w:val="20"/>
          <w:lang w:val="en-US"/>
        </w:rPr>
        <w:t xml:space="preserve"> </w:t>
      </w:r>
      <w:proofErr w:type="spellStart"/>
      <w:r w:rsidRPr="003F5529">
        <w:rPr>
          <w:i/>
          <w:sz w:val="20"/>
          <w:szCs w:val="20"/>
          <w:lang w:val="es-AR"/>
        </w:rPr>
        <w:t>Spanish</w:t>
      </w:r>
      <w:proofErr w:type="spellEnd"/>
      <w:r w:rsidRPr="003F5529">
        <w:rPr>
          <w:i/>
          <w:sz w:val="20"/>
          <w:szCs w:val="20"/>
          <w:lang w:val="es-AR"/>
        </w:rPr>
        <w:t xml:space="preserve"> </w:t>
      </w:r>
      <w:proofErr w:type="spellStart"/>
      <w:r w:rsidRPr="003F5529">
        <w:rPr>
          <w:i/>
          <w:sz w:val="20"/>
          <w:szCs w:val="20"/>
          <w:lang w:val="es-AR"/>
        </w:rPr>
        <w:t>Journal</w:t>
      </w:r>
      <w:proofErr w:type="spellEnd"/>
      <w:r w:rsidRPr="003F5529">
        <w:rPr>
          <w:i/>
          <w:sz w:val="20"/>
          <w:szCs w:val="20"/>
          <w:lang w:val="es-AR"/>
        </w:rPr>
        <w:t xml:space="preserve"> of Marketing - ESIC</w:t>
      </w:r>
      <w:r w:rsidRPr="003F5529">
        <w:rPr>
          <w:sz w:val="20"/>
          <w:szCs w:val="20"/>
          <w:lang w:val="es-AR"/>
        </w:rPr>
        <w:t xml:space="preserve">, </w:t>
      </w:r>
      <w:r w:rsidRPr="003F5529">
        <w:rPr>
          <w:i/>
          <w:sz w:val="20"/>
          <w:szCs w:val="20"/>
          <w:lang w:val="es-AR"/>
        </w:rPr>
        <w:t>23</w:t>
      </w:r>
      <w:r w:rsidRPr="003F5529">
        <w:rPr>
          <w:sz w:val="20"/>
          <w:szCs w:val="20"/>
          <w:lang w:val="es-AR"/>
        </w:rPr>
        <w:t xml:space="preserve">(3), 461-484. </w:t>
      </w:r>
      <w:hyperlink r:id="rId41" w:history="1">
        <w:r w:rsidR="0089552B" w:rsidRPr="003F5529">
          <w:rPr>
            <w:rStyle w:val="Hipervnculo"/>
            <w:sz w:val="20"/>
            <w:szCs w:val="20"/>
            <w:lang w:val="es-AR"/>
          </w:rPr>
          <w:t>https://doi.org/10.1108/SJME-07-2019-0042</w:t>
        </w:r>
      </w:hyperlink>
    </w:p>
    <w:p w14:paraId="5A6DE058" w14:textId="77777777" w:rsidR="0089552B" w:rsidRPr="003F5529" w:rsidRDefault="0089552B" w:rsidP="0089552B">
      <w:pPr>
        <w:spacing w:after="0" w:line="240" w:lineRule="auto"/>
        <w:ind w:left="709" w:hanging="709"/>
        <w:jc w:val="both"/>
        <w:rPr>
          <w:sz w:val="20"/>
          <w:szCs w:val="20"/>
          <w:lang w:val="es-AR"/>
        </w:rPr>
      </w:pPr>
    </w:p>
    <w:p w14:paraId="703AFE2F" w14:textId="5A42CBE7" w:rsidR="002316EB" w:rsidRDefault="00FA373F" w:rsidP="0089552B">
      <w:pPr>
        <w:spacing w:after="0" w:line="240" w:lineRule="auto"/>
        <w:ind w:left="709" w:hanging="709"/>
        <w:jc w:val="both"/>
        <w:rPr>
          <w:sz w:val="20"/>
          <w:szCs w:val="20"/>
        </w:rPr>
      </w:pPr>
      <w:r w:rsidRPr="003F5529">
        <w:rPr>
          <w:sz w:val="20"/>
          <w:szCs w:val="20"/>
          <w:lang w:val="es-AR"/>
        </w:rPr>
        <w:t xml:space="preserve">Moreno Lázaro, J. (2014). </w:t>
      </w:r>
      <w:r>
        <w:rPr>
          <w:sz w:val="20"/>
          <w:szCs w:val="20"/>
        </w:rPr>
        <w:t xml:space="preserve">Empresariado, Iglesia y ahorro popular: las cajas de ahorro y Montes de Piedad de Castilla y León, 1841-2013. </w:t>
      </w:r>
      <w:r>
        <w:rPr>
          <w:i/>
          <w:sz w:val="20"/>
          <w:szCs w:val="20"/>
        </w:rPr>
        <w:t>Investigaciones de Historia Económica</w:t>
      </w:r>
      <w:r>
        <w:rPr>
          <w:sz w:val="20"/>
          <w:szCs w:val="20"/>
        </w:rPr>
        <w:t xml:space="preserve">, </w:t>
      </w:r>
      <w:r>
        <w:rPr>
          <w:i/>
          <w:sz w:val="20"/>
          <w:szCs w:val="20"/>
        </w:rPr>
        <w:t>10</w:t>
      </w:r>
      <w:r>
        <w:rPr>
          <w:sz w:val="20"/>
          <w:szCs w:val="20"/>
        </w:rPr>
        <w:t xml:space="preserve">(3), 177-190. </w:t>
      </w:r>
      <w:hyperlink r:id="rId42" w:history="1">
        <w:r w:rsidR="0089552B" w:rsidRPr="00604172">
          <w:rPr>
            <w:rStyle w:val="Hipervnculo"/>
            <w:sz w:val="20"/>
            <w:szCs w:val="20"/>
          </w:rPr>
          <w:t>https://doi.org/10.1016/j.ihe.2013.08.001</w:t>
        </w:r>
      </w:hyperlink>
    </w:p>
    <w:p w14:paraId="03D9A1D3" w14:textId="77777777" w:rsidR="0089552B" w:rsidRDefault="0089552B" w:rsidP="0089552B">
      <w:pPr>
        <w:spacing w:after="0" w:line="240" w:lineRule="auto"/>
        <w:ind w:left="709" w:hanging="709"/>
        <w:jc w:val="both"/>
        <w:rPr>
          <w:sz w:val="20"/>
          <w:szCs w:val="20"/>
        </w:rPr>
      </w:pPr>
    </w:p>
    <w:p w14:paraId="22363E8C" w14:textId="3ACF832B" w:rsidR="002316EB" w:rsidRDefault="00FA373F" w:rsidP="0089552B">
      <w:pPr>
        <w:spacing w:after="0" w:line="240" w:lineRule="auto"/>
        <w:ind w:left="709" w:hanging="709"/>
        <w:jc w:val="both"/>
        <w:rPr>
          <w:sz w:val="20"/>
          <w:szCs w:val="20"/>
        </w:rPr>
      </w:pPr>
      <w:r>
        <w:rPr>
          <w:sz w:val="20"/>
          <w:szCs w:val="20"/>
        </w:rPr>
        <w:t xml:space="preserve">Palomo Zurdo, R. J. y </w:t>
      </w:r>
      <w:proofErr w:type="spellStart"/>
      <w:r>
        <w:rPr>
          <w:sz w:val="20"/>
          <w:szCs w:val="20"/>
        </w:rPr>
        <w:t>Sanchis</w:t>
      </w:r>
      <w:proofErr w:type="spellEnd"/>
      <w:r>
        <w:rPr>
          <w:sz w:val="20"/>
          <w:szCs w:val="20"/>
        </w:rPr>
        <w:t xml:space="preserve"> Palacio, J. R. (2010). Efectos de las fusiones sobre la concentración y la eficiencia bancaria: el caso de las Cajas Rurales y los retos de la crisis financiera. </w:t>
      </w:r>
      <w:r>
        <w:rPr>
          <w:i/>
          <w:sz w:val="20"/>
          <w:szCs w:val="20"/>
        </w:rPr>
        <w:t>Revista Española de Financiación y Contabilidad</w:t>
      </w:r>
      <w:r>
        <w:rPr>
          <w:sz w:val="20"/>
          <w:szCs w:val="20"/>
        </w:rPr>
        <w:t xml:space="preserve">, </w:t>
      </w:r>
      <w:r>
        <w:rPr>
          <w:i/>
          <w:sz w:val="20"/>
          <w:szCs w:val="20"/>
        </w:rPr>
        <w:t>39</w:t>
      </w:r>
      <w:r>
        <w:rPr>
          <w:sz w:val="20"/>
          <w:szCs w:val="20"/>
        </w:rPr>
        <w:t xml:space="preserve">(146), 289-319. </w:t>
      </w:r>
      <w:hyperlink r:id="rId43" w:history="1">
        <w:r w:rsidR="0089552B" w:rsidRPr="00604172">
          <w:rPr>
            <w:rStyle w:val="Hipervnculo"/>
            <w:sz w:val="20"/>
            <w:szCs w:val="20"/>
          </w:rPr>
          <w:t>https://doi.org/10.1080/02102412.2010.10779683</w:t>
        </w:r>
      </w:hyperlink>
    </w:p>
    <w:p w14:paraId="441F906A" w14:textId="77777777" w:rsidR="0089552B" w:rsidRDefault="0089552B" w:rsidP="0089552B">
      <w:pPr>
        <w:spacing w:after="0" w:line="240" w:lineRule="auto"/>
        <w:ind w:left="709" w:hanging="709"/>
        <w:jc w:val="both"/>
        <w:rPr>
          <w:sz w:val="20"/>
          <w:szCs w:val="20"/>
        </w:rPr>
      </w:pPr>
    </w:p>
    <w:p w14:paraId="160A42E0" w14:textId="523F137E" w:rsidR="002316EB" w:rsidRDefault="00FA373F" w:rsidP="0089552B">
      <w:pPr>
        <w:spacing w:after="0" w:line="240" w:lineRule="auto"/>
        <w:ind w:left="709" w:hanging="709"/>
        <w:jc w:val="both"/>
        <w:rPr>
          <w:sz w:val="20"/>
          <w:szCs w:val="20"/>
        </w:rPr>
      </w:pPr>
      <w:r>
        <w:rPr>
          <w:sz w:val="20"/>
          <w:szCs w:val="20"/>
        </w:rPr>
        <w:t xml:space="preserve">Palomo Zurdo, R. J., </w:t>
      </w:r>
      <w:proofErr w:type="spellStart"/>
      <w:r>
        <w:rPr>
          <w:sz w:val="20"/>
          <w:szCs w:val="20"/>
        </w:rPr>
        <w:t>Sanchis</w:t>
      </w:r>
      <w:proofErr w:type="spellEnd"/>
      <w:r>
        <w:rPr>
          <w:sz w:val="20"/>
          <w:szCs w:val="20"/>
        </w:rPr>
        <w:t xml:space="preserve"> Palacio, J. R. y Soler Tormo, F. (2010). Las entidades financieras de economía social ante la crisis financiera: un análisis de las cajas rurales españolas. </w:t>
      </w:r>
      <w:r>
        <w:rPr>
          <w:i/>
          <w:sz w:val="20"/>
          <w:szCs w:val="20"/>
        </w:rPr>
        <w:t>REVESCO. Revista de Estudios Cooperativos</w:t>
      </w:r>
      <w:r>
        <w:rPr>
          <w:sz w:val="20"/>
          <w:szCs w:val="20"/>
        </w:rPr>
        <w:t xml:space="preserve"> (100), 101-133. </w:t>
      </w:r>
      <w:hyperlink r:id="rId44" w:history="1">
        <w:r w:rsidR="0089552B" w:rsidRPr="00604172">
          <w:rPr>
            <w:rStyle w:val="Hipervnculo"/>
            <w:sz w:val="20"/>
            <w:szCs w:val="20"/>
          </w:rPr>
          <w:t>http://www.redalyc.org/articulo.oa?id=36712366004</w:t>
        </w:r>
      </w:hyperlink>
    </w:p>
    <w:p w14:paraId="6B6EDFF8" w14:textId="77777777" w:rsidR="0089552B" w:rsidRDefault="0089552B" w:rsidP="0089552B">
      <w:pPr>
        <w:spacing w:after="0" w:line="240" w:lineRule="auto"/>
        <w:ind w:left="709" w:hanging="709"/>
        <w:jc w:val="both"/>
        <w:rPr>
          <w:sz w:val="20"/>
          <w:szCs w:val="20"/>
        </w:rPr>
      </w:pPr>
    </w:p>
    <w:p w14:paraId="22B43FD4" w14:textId="58DBA456" w:rsidR="002316EB" w:rsidRDefault="00FA373F" w:rsidP="0089552B">
      <w:pPr>
        <w:spacing w:after="0" w:line="240" w:lineRule="auto"/>
        <w:ind w:left="709" w:hanging="709"/>
        <w:jc w:val="both"/>
        <w:rPr>
          <w:sz w:val="20"/>
          <w:szCs w:val="20"/>
          <w:lang w:val="en-US"/>
        </w:rPr>
      </w:pPr>
      <w:proofErr w:type="spellStart"/>
      <w:r>
        <w:rPr>
          <w:sz w:val="20"/>
          <w:szCs w:val="20"/>
        </w:rPr>
        <w:t>Parasuraman</w:t>
      </w:r>
      <w:proofErr w:type="spellEnd"/>
      <w:r>
        <w:rPr>
          <w:sz w:val="20"/>
          <w:szCs w:val="20"/>
        </w:rPr>
        <w:t xml:space="preserve">, A., </w:t>
      </w:r>
      <w:proofErr w:type="spellStart"/>
      <w:r>
        <w:rPr>
          <w:sz w:val="20"/>
          <w:szCs w:val="20"/>
        </w:rPr>
        <w:t>Zeithaml</w:t>
      </w:r>
      <w:proofErr w:type="spellEnd"/>
      <w:r>
        <w:rPr>
          <w:sz w:val="20"/>
          <w:szCs w:val="20"/>
        </w:rPr>
        <w:t xml:space="preserve">, V. A. y Berry, L. L. (1988). </w:t>
      </w:r>
      <w:proofErr w:type="spellStart"/>
      <w:r w:rsidRPr="00B8669F">
        <w:rPr>
          <w:sz w:val="20"/>
          <w:szCs w:val="20"/>
          <w:lang w:val="en-US"/>
        </w:rPr>
        <w:t>Servqual</w:t>
      </w:r>
      <w:proofErr w:type="spellEnd"/>
      <w:r w:rsidRPr="00B8669F">
        <w:rPr>
          <w:sz w:val="20"/>
          <w:szCs w:val="20"/>
          <w:lang w:val="en-US"/>
        </w:rPr>
        <w:t xml:space="preserve">: A multiple-item scale for measuring consumer perceptions of service quality. </w:t>
      </w:r>
      <w:proofErr w:type="gramStart"/>
      <w:r w:rsidRPr="00B8669F">
        <w:rPr>
          <w:i/>
          <w:sz w:val="20"/>
          <w:szCs w:val="20"/>
          <w:lang w:val="en-US"/>
        </w:rPr>
        <w:t>Journal of retailing</w:t>
      </w:r>
      <w:r w:rsidRPr="00B8669F">
        <w:rPr>
          <w:sz w:val="20"/>
          <w:szCs w:val="20"/>
          <w:lang w:val="en-US"/>
        </w:rPr>
        <w:t xml:space="preserve">, </w:t>
      </w:r>
      <w:r w:rsidRPr="00B8669F">
        <w:rPr>
          <w:i/>
          <w:sz w:val="20"/>
          <w:szCs w:val="20"/>
          <w:lang w:val="en-US"/>
        </w:rPr>
        <w:t>64</w:t>
      </w:r>
      <w:r w:rsidRPr="00B8669F">
        <w:rPr>
          <w:sz w:val="20"/>
          <w:szCs w:val="20"/>
          <w:lang w:val="en-US"/>
        </w:rPr>
        <w:t>(1), 12-40.</w:t>
      </w:r>
      <w:proofErr w:type="gramEnd"/>
    </w:p>
    <w:p w14:paraId="7D3C4FBB" w14:textId="77777777" w:rsidR="0089552B" w:rsidRPr="00B8669F" w:rsidRDefault="0089552B" w:rsidP="0089552B">
      <w:pPr>
        <w:spacing w:after="0" w:line="240" w:lineRule="auto"/>
        <w:ind w:left="709" w:hanging="709"/>
        <w:jc w:val="both"/>
        <w:rPr>
          <w:sz w:val="20"/>
          <w:szCs w:val="20"/>
          <w:lang w:val="en-US"/>
        </w:rPr>
      </w:pPr>
    </w:p>
    <w:p w14:paraId="7801612F" w14:textId="057C1A89" w:rsidR="002316EB" w:rsidRDefault="00FA373F" w:rsidP="0089552B">
      <w:pPr>
        <w:spacing w:after="0" w:line="240" w:lineRule="auto"/>
        <w:ind w:left="709" w:hanging="709"/>
        <w:jc w:val="both"/>
        <w:rPr>
          <w:sz w:val="20"/>
          <w:szCs w:val="20"/>
          <w:lang w:val="en-US"/>
        </w:rPr>
      </w:pPr>
      <w:proofErr w:type="spellStart"/>
      <w:r w:rsidRPr="00B8669F">
        <w:rPr>
          <w:sz w:val="20"/>
          <w:szCs w:val="20"/>
          <w:lang w:val="en-US"/>
        </w:rPr>
        <w:t>Raajpoot</w:t>
      </w:r>
      <w:proofErr w:type="spellEnd"/>
      <w:r w:rsidRPr="00B8669F">
        <w:rPr>
          <w:sz w:val="20"/>
          <w:szCs w:val="20"/>
          <w:lang w:val="en-US"/>
        </w:rPr>
        <w:t xml:space="preserve">, N. (2004). </w:t>
      </w:r>
      <w:proofErr w:type="spellStart"/>
      <w:proofErr w:type="gramStart"/>
      <w:r w:rsidRPr="00B8669F">
        <w:rPr>
          <w:sz w:val="20"/>
          <w:szCs w:val="20"/>
          <w:lang w:val="en-US"/>
        </w:rPr>
        <w:t>Reconceptualizing</w:t>
      </w:r>
      <w:proofErr w:type="spellEnd"/>
      <w:r w:rsidRPr="00B8669F">
        <w:rPr>
          <w:sz w:val="20"/>
          <w:szCs w:val="20"/>
          <w:lang w:val="en-US"/>
        </w:rPr>
        <w:t xml:space="preserve"> service encounter quality in a non-western context.</w:t>
      </w:r>
      <w:proofErr w:type="gramEnd"/>
      <w:r w:rsidRPr="00B8669F">
        <w:rPr>
          <w:sz w:val="20"/>
          <w:szCs w:val="20"/>
          <w:lang w:val="en-US"/>
        </w:rPr>
        <w:t xml:space="preserve"> </w:t>
      </w:r>
      <w:r w:rsidRPr="00B8669F">
        <w:rPr>
          <w:i/>
          <w:sz w:val="20"/>
          <w:szCs w:val="20"/>
          <w:lang w:val="en-US"/>
        </w:rPr>
        <w:t>Journal of Service Research</w:t>
      </w:r>
      <w:r w:rsidRPr="00B8669F">
        <w:rPr>
          <w:sz w:val="20"/>
          <w:szCs w:val="20"/>
          <w:lang w:val="en-US"/>
        </w:rPr>
        <w:t xml:space="preserve">, </w:t>
      </w:r>
      <w:r w:rsidRPr="00B8669F">
        <w:rPr>
          <w:i/>
          <w:sz w:val="20"/>
          <w:szCs w:val="20"/>
          <w:lang w:val="en-US"/>
        </w:rPr>
        <w:t>7</w:t>
      </w:r>
      <w:r w:rsidRPr="00B8669F">
        <w:rPr>
          <w:sz w:val="20"/>
          <w:szCs w:val="20"/>
          <w:lang w:val="en-US"/>
        </w:rPr>
        <w:t xml:space="preserve">(2), 181-201. </w:t>
      </w:r>
      <w:hyperlink r:id="rId45" w:history="1">
        <w:r w:rsidR="0089552B" w:rsidRPr="00604172">
          <w:rPr>
            <w:rStyle w:val="Hipervnculo"/>
            <w:sz w:val="20"/>
            <w:szCs w:val="20"/>
            <w:lang w:val="en-US"/>
          </w:rPr>
          <w:t>https://doi.org/10.1177/1094670504268450</w:t>
        </w:r>
      </w:hyperlink>
    </w:p>
    <w:p w14:paraId="58C44554" w14:textId="77777777" w:rsidR="0089552B" w:rsidRPr="00B8669F" w:rsidRDefault="0089552B" w:rsidP="0089552B">
      <w:pPr>
        <w:spacing w:after="0" w:line="240" w:lineRule="auto"/>
        <w:ind w:left="709" w:hanging="709"/>
        <w:jc w:val="both"/>
        <w:rPr>
          <w:sz w:val="20"/>
          <w:szCs w:val="20"/>
          <w:lang w:val="en-US"/>
        </w:rPr>
      </w:pPr>
    </w:p>
    <w:p w14:paraId="67FA389D" w14:textId="66CD874E" w:rsidR="002316EB" w:rsidRDefault="00FA373F" w:rsidP="0089552B">
      <w:pPr>
        <w:spacing w:after="0" w:line="240" w:lineRule="auto"/>
        <w:ind w:left="709" w:hanging="709"/>
        <w:jc w:val="both"/>
        <w:rPr>
          <w:sz w:val="20"/>
          <w:szCs w:val="20"/>
          <w:lang w:val="en-US"/>
        </w:rPr>
      </w:pPr>
      <w:proofErr w:type="spellStart"/>
      <w:r w:rsidRPr="003729BD">
        <w:rPr>
          <w:sz w:val="20"/>
          <w:szCs w:val="20"/>
          <w:lang w:val="es-AR"/>
        </w:rPr>
        <w:t>Rahi</w:t>
      </w:r>
      <w:proofErr w:type="spellEnd"/>
      <w:r w:rsidRPr="003729BD">
        <w:rPr>
          <w:sz w:val="20"/>
          <w:szCs w:val="20"/>
          <w:lang w:val="es-AR"/>
        </w:rPr>
        <w:t xml:space="preserve">, S., </w:t>
      </w:r>
      <w:proofErr w:type="spellStart"/>
      <w:r w:rsidRPr="003729BD">
        <w:rPr>
          <w:sz w:val="20"/>
          <w:szCs w:val="20"/>
          <w:lang w:val="es-AR"/>
        </w:rPr>
        <w:t>Yasin</w:t>
      </w:r>
      <w:proofErr w:type="spellEnd"/>
      <w:r w:rsidRPr="003729BD">
        <w:rPr>
          <w:sz w:val="20"/>
          <w:szCs w:val="20"/>
          <w:lang w:val="es-AR"/>
        </w:rPr>
        <w:t xml:space="preserve">, N. y </w:t>
      </w:r>
      <w:proofErr w:type="spellStart"/>
      <w:r w:rsidRPr="003729BD">
        <w:rPr>
          <w:sz w:val="20"/>
          <w:szCs w:val="20"/>
          <w:lang w:val="es-AR"/>
        </w:rPr>
        <w:t>Alnaser</w:t>
      </w:r>
      <w:proofErr w:type="spellEnd"/>
      <w:r w:rsidRPr="003729BD">
        <w:rPr>
          <w:sz w:val="20"/>
          <w:szCs w:val="20"/>
          <w:lang w:val="es-AR"/>
        </w:rPr>
        <w:t xml:space="preserve">, F. (2017). </w:t>
      </w:r>
      <w:proofErr w:type="gramStart"/>
      <w:r w:rsidRPr="00B8669F">
        <w:rPr>
          <w:sz w:val="20"/>
          <w:szCs w:val="20"/>
          <w:lang w:val="en-US"/>
        </w:rPr>
        <w:t>Measuring the role of website design, assurance, customer service and brand image towards customer loyalty and intention to adopt internet banking.</w:t>
      </w:r>
      <w:proofErr w:type="gramEnd"/>
      <w:r w:rsidRPr="00B8669F">
        <w:rPr>
          <w:sz w:val="20"/>
          <w:szCs w:val="20"/>
          <w:lang w:val="en-US"/>
        </w:rPr>
        <w:t xml:space="preserve"> </w:t>
      </w:r>
      <w:proofErr w:type="gramStart"/>
      <w:r w:rsidRPr="00B8669F">
        <w:rPr>
          <w:i/>
          <w:sz w:val="20"/>
          <w:szCs w:val="20"/>
          <w:lang w:val="en-US"/>
        </w:rPr>
        <w:t>The Journal of Internet Banking and Commerce,</w:t>
      </w:r>
      <w:r w:rsidRPr="00B8669F">
        <w:rPr>
          <w:sz w:val="20"/>
          <w:szCs w:val="20"/>
          <w:lang w:val="en-US"/>
        </w:rPr>
        <w:t xml:space="preserve"> </w:t>
      </w:r>
      <w:r w:rsidRPr="00B8669F">
        <w:rPr>
          <w:i/>
          <w:sz w:val="20"/>
          <w:szCs w:val="20"/>
          <w:lang w:val="en-US"/>
        </w:rPr>
        <w:t>22</w:t>
      </w:r>
      <w:r w:rsidRPr="00B8669F">
        <w:rPr>
          <w:sz w:val="20"/>
          <w:szCs w:val="20"/>
          <w:lang w:val="en-US"/>
        </w:rPr>
        <w:t>(Special Issue 8).</w:t>
      </w:r>
      <w:proofErr w:type="gramEnd"/>
      <w:r w:rsidRPr="00B8669F">
        <w:rPr>
          <w:sz w:val="20"/>
          <w:szCs w:val="20"/>
          <w:lang w:val="en-US"/>
        </w:rPr>
        <w:t xml:space="preserve"> </w:t>
      </w:r>
      <w:hyperlink r:id="rId46" w:history="1">
        <w:r w:rsidR="0089552B" w:rsidRPr="00604172">
          <w:rPr>
            <w:rStyle w:val="Hipervnculo"/>
            <w:sz w:val="20"/>
            <w:szCs w:val="20"/>
            <w:lang w:val="en-US"/>
          </w:rPr>
          <w:t>http://www.icommercecentral.com/open-access/measuring-the-role-of-website-design-assurance-customer-service-and-brand-image-towards-customer-loyalty-and-intention-to-adopt-internet-banking.php?aid=85908</w:t>
        </w:r>
      </w:hyperlink>
    </w:p>
    <w:p w14:paraId="3839BF4F" w14:textId="77777777" w:rsidR="0089552B" w:rsidRPr="00B8669F" w:rsidRDefault="0089552B" w:rsidP="0089552B">
      <w:pPr>
        <w:spacing w:after="0" w:line="240" w:lineRule="auto"/>
        <w:ind w:left="709" w:hanging="709"/>
        <w:jc w:val="both"/>
        <w:rPr>
          <w:sz w:val="20"/>
          <w:szCs w:val="20"/>
          <w:lang w:val="en-US"/>
        </w:rPr>
      </w:pPr>
    </w:p>
    <w:p w14:paraId="055AD8A6" w14:textId="2EA56449" w:rsidR="002316EB" w:rsidRDefault="00FA373F" w:rsidP="0089552B">
      <w:pPr>
        <w:spacing w:after="0" w:line="240" w:lineRule="auto"/>
        <w:ind w:left="709" w:hanging="709"/>
        <w:jc w:val="both"/>
        <w:rPr>
          <w:sz w:val="20"/>
          <w:szCs w:val="20"/>
        </w:rPr>
      </w:pPr>
      <w:r>
        <w:rPr>
          <w:sz w:val="20"/>
          <w:szCs w:val="20"/>
        </w:rPr>
        <w:t xml:space="preserve">Ramírez-Asís, E. H., Maguiña-Palma, M. E. y Huerta-Soto, R. M. (2020). Actitud, satisfacción y lealtad de los clientes en las Cajas Municipales del Perú. </w:t>
      </w:r>
      <w:r>
        <w:rPr>
          <w:i/>
          <w:sz w:val="20"/>
          <w:szCs w:val="20"/>
        </w:rPr>
        <w:t>RETOS. Revista de Ciencias de la Administración y Economía</w:t>
      </w:r>
      <w:r>
        <w:rPr>
          <w:sz w:val="20"/>
          <w:szCs w:val="20"/>
        </w:rPr>
        <w:t xml:space="preserve">, </w:t>
      </w:r>
      <w:r>
        <w:rPr>
          <w:i/>
          <w:sz w:val="20"/>
          <w:szCs w:val="20"/>
        </w:rPr>
        <w:t>10</w:t>
      </w:r>
      <w:r>
        <w:rPr>
          <w:sz w:val="20"/>
          <w:szCs w:val="20"/>
        </w:rPr>
        <w:t xml:space="preserve">(20), 329-343. </w:t>
      </w:r>
      <w:hyperlink r:id="rId47" w:history="1">
        <w:r w:rsidR="0089552B" w:rsidRPr="00604172">
          <w:rPr>
            <w:rStyle w:val="Hipervnculo"/>
            <w:sz w:val="20"/>
            <w:szCs w:val="20"/>
          </w:rPr>
          <w:t>https://doi.org/10.17163/ret.n20.2020.08</w:t>
        </w:r>
      </w:hyperlink>
    </w:p>
    <w:p w14:paraId="49CAB43C" w14:textId="77777777" w:rsidR="0089552B" w:rsidRDefault="0089552B" w:rsidP="0089552B">
      <w:pPr>
        <w:spacing w:after="0" w:line="240" w:lineRule="auto"/>
        <w:ind w:left="709" w:hanging="709"/>
        <w:jc w:val="both"/>
        <w:rPr>
          <w:sz w:val="20"/>
          <w:szCs w:val="20"/>
        </w:rPr>
      </w:pPr>
    </w:p>
    <w:p w14:paraId="09360437" w14:textId="5BB95C64" w:rsidR="002316EB" w:rsidRDefault="00FA373F" w:rsidP="0089552B">
      <w:pPr>
        <w:spacing w:after="0" w:line="240" w:lineRule="auto"/>
        <w:ind w:left="709" w:hanging="709"/>
        <w:jc w:val="both"/>
        <w:rPr>
          <w:sz w:val="20"/>
          <w:szCs w:val="20"/>
        </w:rPr>
      </w:pPr>
      <w:r>
        <w:rPr>
          <w:sz w:val="20"/>
          <w:szCs w:val="20"/>
        </w:rPr>
        <w:t xml:space="preserve">Rodríguez, V. (2014). Dinero electrónico en Perú: ¿Por qué es importante en la inclusión financiera? </w:t>
      </w:r>
      <w:proofErr w:type="spellStart"/>
      <w:r>
        <w:rPr>
          <w:i/>
          <w:sz w:val="20"/>
          <w:szCs w:val="20"/>
        </w:rPr>
        <w:t>Quipukamayoc</w:t>
      </w:r>
      <w:proofErr w:type="spellEnd"/>
      <w:r>
        <w:rPr>
          <w:sz w:val="20"/>
          <w:szCs w:val="20"/>
        </w:rPr>
        <w:t xml:space="preserve">, </w:t>
      </w:r>
      <w:r>
        <w:rPr>
          <w:i/>
          <w:sz w:val="20"/>
          <w:szCs w:val="20"/>
        </w:rPr>
        <w:t>22</w:t>
      </w:r>
      <w:r>
        <w:rPr>
          <w:sz w:val="20"/>
          <w:szCs w:val="20"/>
        </w:rPr>
        <w:t xml:space="preserve">(41), 175-192. </w:t>
      </w:r>
      <w:hyperlink r:id="rId48" w:history="1">
        <w:r w:rsidR="0089552B" w:rsidRPr="00604172">
          <w:rPr>
            <w:rStyle w:val="Hipervnculo"/>
            <w:sz w:val="20"/>
            <w:szCs w:val="20"/>
          </w:rPr>
          <w:t>https://doi.org/10.15381/quipu.v22i41.10084</w:t>
        </w:r>
      </w:hyperlink>
    </w:p>
    <w:p w14:paraId="50762C16" w14:textId="77777777" w:rsidR="0089552B" w:rsidRDefault="0089552B" w:rsidP="0089552B">
      <w:pPr>
        <w:spacing w:after="0" w:line="240" w:lineRule="auto"/>
        <w:ind w:left="709" w:hanging="709"/>
        <w:jc w:val="both"/>
        <w:rPr>
          <w:sz w:val="20"/>
          <w:szCs w:val="20"/>
        </w:rPr>
      </w:pPr>
    </w:p>
    <w:p w14:paraId="784C7663" w14:textId="711A4024" w:rsidR="002316EB" w:rsidRDefault="00FA373F" w:rsidP="0089552B">
      <w:pPr>
        <w:spacing w:after="0" w:line="240" w:lineRule="auto"/>
        <w:ind w:left="709" w:hanging="709"/>
        <w:jc w:val="both"/>
        <w:rPr>
          <w:sz w:val="20"/>
          <w:szCs w:val="20"/>
        </w:rPr>
      </w:pPr>
      <w:r>
        <w:rPr>
          <w:sz w:val="20"/>
          <w:szCs w:val="20"/>
        </w:rPr>
        <w:t xml:space="preserve">Roldan, J. y Cepeda, G. (2016). </w:t>
      </w:r>
      <w:r>
        <w:rPr>
          <w:i/>
          <w:sz w:val="20"/>
          <w:szCs w:val="20"/>
        </w:rPr>
        <w:t xml:space="preserve">Modelos de Ecuaciones basados en la Varianza: </w:t>
      </w:r>
      <w:proofErr w:type="spellStart"/>
      <w:r>
        <w:rPr>
          <w:i/>
          <w:sz w:val="20"/>
          <w:szCs w:val="20"/>
        </w:rPr>
        <w:t>Partial</w:t>
      </w:r>
      <w:proofErr w:type="spellEnd"/>
      <w:r>
        <w:rPr>
          <w:i/>
          <w:sz w:val="20"/>
          <w:szCs w:val="20"/>
        </w:rPr>
        <w:t xml:space="preserve"> </w:t>
      </w:r>
      <w:proofErr w:type="spellStart"/>
      <w:r>
        <w:rPr>
          <w:i/>
          <w:sz w:val="20"/>
          <w:szCs w:val="20"/>
        </w:rPr>
        <w:t>Least</w:t>
      </w:r>
      <w:proofErr w:type="spellEnd"/>
      <w:r>
        <w:rPr>
          <w:i/>
          <w:sz w:val="20"/>
          <w:szCs w:val="20"/>
        </w:rPr>
        <w:t xml:space="preserve"> </w:t>
      </w:r>
      <w:proofErr w:type="spellStart"/>
      <w:r>
        <w:rPr>
          <w:i/>
          <w:sz w:val="20"/>
          <w:szCs w:val="20"/>
        </w:rPr>
        <w:t>Squares</w:t>
      </w:r>
      <w:proofErr w:type="spellEnd"/>
      <w:r>
        <w:rPr>
          <w:i/>
          <w:sz w:val="20"/>
          <w:szCs w:val="20"/>
        </w:rPr>
        <w:t xml:space="preserve"> (PLS) para Investigadores en Ciencias Sociales</w:t>
      </w:r>
      <w:r>
        <w:rPr>
          <w:sz w:val="20"/>
          <w:szCs w:val="20"/>
        </w:rPr>
        <w:t xml:space="preserve"> (3ª ed.). Universidad de Sevilla.</w:t>
      </w:r>
    </w:p>
    <w:p w14:paraId="171BA0CA" w14:textId="77777777" w:rsidR="0089552B" w:rsidRDefault="0089552B" w:rsidP="0089552B">
      <w:pPr>
        <w:spacing w:after="0" w:line="240" w:lineRule="auto"/>
        <w:ind w:left="709" w:hanging="709"/>
        <w:jc w:val="both"/>
        <w:rPr>
          <w:sz w:val="20"/>
          <w:szCs w:val="20"/>
        </w:rPr>
      </w:pPr>
    </w:p>
    <w:p w14:paraId="2866ADF3" w14:textId="27E0D566" w:rsidR="002316EB" w:rsidRDefault="00FA373F" w:rsidP="0089552B">
      <w:pPr>
        <w:spacing w:after="0" w:line="240" w:lineRule="auto"/>
        <w:ind w:left="709" w:hanging="709"/>
        <w:jc w:val="both"/>
        <w:rPr>
          <w:sz w:val="20"/>
          <w:szCs w:val="20"/>
        </w:rPr>
      </w:pPr>
      <w:r>
        <w:rPr>
          <w:sz w:val="20"/>
          <w:szCs w:val="20"/>
        </w:rPr>
        <w:t xml:space="preserve">Romero, R. y </w:t>
      </w:r>
      <w:proofErr w:type="spellStart"/>
      <w:r>
        <w:rPr>
          <w:sz w:val="20"/>
          <w:szCs w:val="20"/>
        </w:rPr>
        <w:t>Babativa</w:t>
      </w:r>
      <w:proofErr w:type="spellEnd"/>
      <w:r>
        <w:rPr>
          <w:sz w:val="20"/>
          <w:szCs w:val="20"/>
        </w:rPr>
        <w:t xml:space="preserve">, G. (2016). Modelo de Lealtad a partir de un Análisis de Ecuaciones Estructurales. </w:t>
      </w:r>
      <w:r>
        <w:rPr>
          <w:i/>
          <w:sz w:val="20"/>
          <w:szCs w:val="20"/>
        </w:rPr>
        <w:t>Comunicaciones en Estadística</w:t>
      </w:r>
      <w:r>
        <w:rPr>
          <w:sz w:val="20"/>
          <w:szCs w:val="20"/>
        </w:rPr>
        <w:t xml:space="preserve">, </w:t>
      </w:r>
      <w:r>
        <w:rPr>
          <w:i/>
          <w:sz w:val="20"/>
          <w:szCs w:val="20"/>
        </w:rPr>
        <w:t>9</w:t>
      </w:r>
      <w:r>
        <w:rPr>
          <w:sz w:val="20"/>
          <w:szCs w:val="20"/>
        </w:rPr>
        <w:t xml:space="preserve">(2), 165-197. </w:t>
      </w:r>
      <w:hyperlink r:id="rId49" w:history="1">
        <w:r w:rsidR="0089552B" w:rsidRPr="00604172">
          <w:rPr>
            <w:rStyle w:val="Hipervnculo"/>
            <w:sz w:val="20"/>
            <w:szCs w:val="20"/>
          </w:rPr>
          <w:t>https://doi.org/10.15332/s2027-3355.2016.0002.01</w:t>
        </w:r>
      </w:hyperlink>
    </w:p>
    <w:p w14:paraId="43C988D6" w14:textId="77777777" w:rsidR="0089552B" w:rsidRDefault="0089552B" w:rsidP="0089552B">
      <w:pPr>
        <w:spacing w:after="0" w:line="240" w:lineRule="auto"/>
        <w:ind w:left="709" w:hanging="709"/>
        <w:jc w:val="both"/>
        <w:rPr>
          <w:sz w:val="20"/>
          <w:szCs w:val="20"/>
        </w:rPr>
      </w:pPr>
    </w:p>
    <w:p w14:paraId="062C1208" w14:textId="0217B05E" w:rsidR="002316EB" w:rsidRDefault="00FA373F" w:rsidP="0089552B">
      <w:pPr>
        <w:spacing w:after="0" w:line="240" w:lineRule="auto"/>
        <w:ind w:left="709" w:hanging="709"/>
        <w:jc w:val="both"/>
        <w:rPr>
          <w:sz w:val="20"/>
          <w:szCs w:val="20"/>
        </w:rPr>
      </w:pPr>
      <w:r>
        <w:rPr>
          <w:sz w:val="20"/>
          <w:szCs w:val="20"/>
        </w:rPr>
        <w:t xml:space="preserve">Ruiz, M. A., Pardo, A. y San Martín, R. (2010). Modelos de ecuaciones estructurales. </w:t>
      </w:r>
      <w:r>
        <w:rPr>
          <w:i/>
          <w:sz w:val="20"/>
          <w:szCs w:val="20"/>
        </w:rPr>
        <w:t>Papeles del psicólogo</w:t>
      </w:r>
      <w:r>
        <w:rPr>
          <w:sz w:val="20"/>
          <w:szCs w:val="20"/>
        </w:rPr>
        <w:t xml:space="preserve">, </w:t>
      </w:r>
      <w:r>
        <w:rPr>
          <w:i/>
          <w:sz w:val="20"/>
          <w:szCs w:val="20"/>
        </w:rPr>
        <w:t>31</w:t>
      </w:r>
      <w:r>
        <w:rPr>
          <w:sz w:val="20"/>
          <w:szCs w:val="20"/>
        </w:rPr>
        <w:t xml:space="preserve">(1), 34-45. </w:t>
      </w:r>
      <w:hyperlink r:id="rId50" w:history="1">
        <w:r w:rsidR="0089552B" w:rsidRPr="00604172">
          <w:rPr>
            <w:rStyle w:val="Hipervnculo"/>
            <w:sz w:val="20"/>
            <w:szCs w:val="20"/>
          </w:rPr>
          <w:t>http://www.redalyc.org/articulo.oa?id=77812441004</w:t>
        </w:r>
      </w:hyperlink>
    </w:p>
    <w:p w14:paraId="57E5A940" w14:textId="77777777" w:rsidR="0089552B" w:rsidRDefault="0089552B" w:rsidP="0089552B">
      <w:pPr>
        <w:spacing w:after="0" w:line="240" w:lineRule="auto"/>
        <w:ind w:left="709" w:hanging="709"/>
        <w:jc w:val="both"/>
        <w:rPr>
          <w:sz w:val="20"/>
          <w:szCs w:val="20"/>
        </w:rPr>
      </w:pPr>
    </w:p>
    <w:p w14:paraId="63BC6CB5" w14:textId="128476EE" w:rsidR="002316EB" w:rsidRDefault="00FA373F" w:rsidP="0089552B">
      <w:pPr>
        <w:spacing w:after="0" w:line="240" w:lineRule="auto"/>
        <w:ind w:left="709" w:hanging="709"/>
        <w:jc w:val="both"/>
        <w:rPr>
          <w:sz w:val="20"/>
          <w:szCs w:val="20"/>
        </w:rPr>
      </w:pPr>
      <w:r>
        <w:rPr>
          <w:sz w:val="20"/>
          <w:szCs w:val="20"/>
        </w:rPr>
        <w:t xml:space="preserve">Saavedra </w:t>
      </w:r>
      <w:proofErr w:type="spellStart"/>
      <w:r>
        <w:rPr>
          <w:sz w:val="20"/>
          <w:szCs w:val="20"/>
        </w:rPr>
        <w:t>Garcia</w:t>
      </w:r>
      <w:proofErr w:type="spellEnd"/>
      <w:r>
        <w:rPr>
          <w:sz w:val="20"/>
          <w:szCs w:val="20"/>
        </w:rPr>
        <w:t xml:space="preserve">, M. L. (2020). La competitividad en </w:t>
      </w:r>
      <w:proofErr w:type="spellStart"/>
      <w:r>
        <w:rPr>
          <w:sz w:val="20"/>
          <w:szCs w:val="20"/>
        </w:rPr>
        <w:t>Mipymes</w:t>
      </w:r>
      <w:proofErr w:type="spellEnd"/>
      <w:r>
        <w:rPr>
          <w:sz w:val="20"/>
          <w:szCs w:val="20"/>
        </w:rPr>
        <w:t xml:space="preserve"> dirigidas por mujeres en la ciudad de MÉXICO. </w:t>
      </w:r>
      <w:r>
        <w:rPr>
          <w:i/>
          <w:sz w:val="20"/>
          <w:szCs w:val="20"/>
        </w:rPr>
        <w:t>Ciencias Administrativas,</w:t>
      </w:r>
      <w:r>
        <w:rPr>
          <w:sz w:val="20"/>
          <w:szCs w:val="20"/>
        </w:rPr>
        <w:t xml:space="preserve"> </w:t>
      </w:r>
      <w:r>
        <w:rPr>
          <w:i/>
          <w:sz w:val="20"/>
          <w:szCs w:val="20"/>
        </w:rPr>
        <w:t>8</w:t>
      </w:r>
      <w:r>
        <w:rPr>
          <w:sz w:val="20"/>
          <w:szCs w:val="20"/>
        </w:rPr>
        <w:t xml:space="preserve">(15), 51-64. </w:t>
      </w:r>
      <w:hyperlink r:id="rId51" w:history="1">
        <w:r w:rsidR="0089552B" w:rsidRPr="00604172">
          <w:rPr>
            <w:rStyle w:val="Hipervnculo"/>
            <w:sz w:val="20"/>
            <w:szCs w:val="20"/>
          </w:rPr>
          <w:t>https://doi.org/10.24215/23143738e055</w:t>
        </w:r>
      </w:hyperlink>
      <w:r>
        <w:rPr>
          <w:sz w:val="20"/>
          <w:szCs w:val="20"/>
        </w:rPr>
        <w:t xml:space="preserve"> </w:t>
      </w:r>
    </w:p>
    <w:p w14:paraId="5F531FE4" w14:textId="77777777" w:rsidR="0089552B" w:rsidRDefault="0089552B" w:rsidP="0089552B">
      <w:pPr>
        <w:spacing w:after="0" w:line="240" w:lineRule="auto"/>
        <w:ind w:left="709" w:hanging="709"/>
        <w:jc w:val="both"/>
        <w:rPr>
          <w:sz w:val="20"/>
          <w:szCs w:val="20"/>
        </w:rPr>
      </w:pPr>
    </w:p>
    <w:p w14:paraId="4EA3579C" w14:textId="29CCAD24" w:rsidR="002316EB" w:rsidRDefault="00FA373F" w:rsidP="0089552B">
      <w:pPr>
        <w:spacing w:after="0" w:line="240" w:lineRule="auto"/>
        <w:ind w:left="709" w:hanging="709"/>
        <w:jc w:val="both"/>
        <w:rPr>
          <w:sz w:val="20"/>
          <w:szCs w:val="20"/>
        </w:rPr>
      </w:pPr>
      <w:r>
        <w:rPr>
          <w:sz w:val="20"/>
          <w:szCs w:val="20"/>
        </w:rPr>
        <w:t xml:space="preserve">Salinas, J. (2011). Ecuador, microcrédito: ¿Negocio o inclusión financiera? </w:t>
      </w:r>
      <w:r>
        <w:rPr>
          <w:i/>
          <w:sz w:val="20"/>
          <w:szCs w:val="20"/>
        </w:rPr>
        <w:t>Retos</w:t>
      </w:r>
      <w:r>
        <w:rPr>
          <w:sz w:val="20"/>
          <w:szCs w:val="20"/>
        </w:rPr>
        <w:t xml:space="preserve">, </w:t>
      </w:r>
      <w:r>
        <w:rPr>
          <w:i/>
          <w:sz w:val="20"/>
          <w:szCs w:val="20"/>
        </w:rPr>
        <w:t>Revista de Ciencias de la Administración y Economía</w:t>
      </w:r>
      <w:r>
        <w:rPr>
          <w:sz w:val="20"/>
          <w:szCs w:val="20"/>
        </w:rPr>
        <w:t xml:space="preserve">, </w:t>
      </w:r>
      <w:r>
        <w:rPr>
          <w:i/>
          <w:sz w:val="20"/>
          <w:szCs w:val="20"/>
        </w:rPr>
        <w:t>1</w:t>
      </w:r>
      <w:r>
        <w:rPr>
          <w:sz w:val="20"/>
          <w:szCs w:val="20"/>
        </w:rPr>
        <w:t xml:space="preserve">(2), 125-134. </w:t>
      </w:r>
      <w:hyperlink r:id="rId52" w:history="1">
        <w:r w:rsidR="0089552B" w:rsidRPr="00604172">
          <w:rPr>
            <w:rStyle w:val="Hipervnculo"/>
            <w:sz w:val="20"/>
            <w:szCs w:val="20"/>
          </w:rPr>
          <w:t>https://doi.org/10.17163/ret.n2.2011.06</w:t>
        </w:r>
      </w:hyperlink>
      <w:r>
        <w:rPr>
          <w:sz w:val="20"/>
          <w:szCs w:val="20"/>
        </w:rPr>
        <w:t xml:space="preserve"> </w:t>
      </w:r>
    </w:p>
    <w:p w14:paraId="0BE27301" w14:textId="77777777" w:rsidR="0089552B" w:rsidRDefault="0089552B" w:rsidP="0089552B">
      <w:pPr>
        <w:spacing w:after="0" w:line="240" w:lineRule="auto"/>
        <w:ind w:left="709" w:hanging="709"/>
        <w:jc w:val="both"/>
        <w:rPr>
          <w:sz w:val="20"/>
          <w:szCs w:val="20"/>
        </w:rPr>
      </w:pPr>
    </w:p>
    <w:p w14:paraId="6B64DF2D" w14:textId="1C647F4E" w:rsidR="002316EB" w:rsidRDefault="00FA373F" w:rsidP="0089552B">
      <w:pPr>
        <w:spacing w:after="0" w:line="240" w:lineRule="auto"/>
        <w:ind w:left="709" w:hanging="709"/>
        <w:jc w:val="both"/>
        <w:rPr>
          <w:sz w:val="20"/>
          <w:szCs w:val="20"/>
          <w:lang w:val="en-US"/>
        </w:rPr>
      </w:pPr>
      <w:proofErr w:type="spellStart"/>
      <w:proofErr w:type="gramStart"/>
      <w:r w:rsidRPr="00B8669F">
        <w:rPr>
          <w:sz w:val="20"/>
          <w:szCs w:val="20"/>
          <w:lang w:val="en-US"/>
        </w:rPr>
        <w:lastRenderedPageBreak/>
        <w:t>Sarstedt</w:t>
      </w:r>
      <w:proofErr w:type="spellEnd"/>
      <w:r w:rsidRPr="00B8669F">
        <w:rPr>
          <w:sz w:val="20"/>
          <w:szCs w:val="20"/>
          <w:lang w:val="en-US"/>
        </w:rPr>
        <w:t xml:space="preserve">, M. y </w:t>
      </w:r>
      <w:proofErr w:type="spellStart"/>
      <w:r w:rsidRPr="00B8669F">
        <w:rPr>
          <w:sz w:val="20"/>
          <w:szCs w:val="20"/>
          <w:lang w:val="en-US"/>
        </w:rPr>
        <w:t>Cheah</w:t>
      </w:r>
      <w:proofErr w:type="spellEnd"/>
      <w:r w:rsidRPr="00B8669F">
        <w:rPr>
          <w:sz w:val="20"/>
          <w:szCs w:val="20"/>
          <w:lang w:val="en-US"/>
        </w:rPr>
        <w:t>, J.-H.</w:t>
      </w:r>
      <w:proofErr w:type="gramEnd"/>
      <w:r w:rsidRPr="00B8669F">
        <w:rPr>
          <w:sz w:val="20"/>
          <w:szCs w:val="20"/>
          <w:lang w:val="en-US"/>
        </w:rPr>
        <w:t xml:space="preserve"> (2019). Partial least squares structural equation modeling using </w:t>
      </w:r>
      <w:proofErr w:type="spellStart"/>
      <w:r w:rsidRPr="00B8669F">
        <w:rPr>
          <w:sz w:val="20"/>
          <w:szCs w:val="20"/>
          <w:lang w:val="en-US"/>
        </w:rPr>
        <w:t>SmartPLS</w:t>
      </w:r>
      <w:proofErr w:type="spellEnd"/>
      <w:r w:rsidRPr="00B8669F">
        <w:rPr>
          <w:sz w:val="20"/>
          <w:szCs w:val="20"/>
          <w:lang w:val="en-US"/>
        </w:rPr>
        <w:t xml:space="preserve">: a software review. </w:t>
      </w:r>
      <w:r w:rsidRPr="00B8669F">
        <w:rPr>
          <w:i/>
          <w:sz w:val="20"/>
          <w:szCs w:val="20"/>
          <w:lang w:val="en-US"/>
        </w:rPr>
        <w:t>Journal of Marketing Analytics</w:t>
      </w:r>
      <w:r w:rsidRPr="00B8669F">
        <w:rPr>
          <w:sz w:val="20"/>
          <w:szCs w:val="20"/>
          <w:lang w:val="en-US"/>
        </w:rPr>
        <w:t xml:space="preserve">, </w:t>
      </w:r>
      <w:r w:rsidRPr="00B8669F">
        <w:rPr>
          <w:i/>
          <w:sz w:val="20"/>
          <w:szCs w:val="20"/>
          <w:lang w:val="en-US"/>
        </w:rPr>
        <w:t>7</w:t>
      </w:r>
      <w:r w:rsidRPr="00B8669F">
        <w:rPr>
          <w:sz w:val="20"/>
          <w:szCs w:val="20"/>
          <w:lang w:val="en-US"/>
        </w:rPr>
        <w:t xml:space="preserve">(3), 196-202. </w:t>
      </w:r>
      <w:hyperlink r:id="rId53" w:history="1">
        <w:r w:rsidR="0089552B" w:rsidRPr="00604172">
          <w:rPr>
            <w:rStyle w:val="Hipervnculo"/>
            <w:sz w:val="20"/>
            <w:szCs w:val="20"/>
            <w:lang w:val="en-US"/>
          </w:rPr>
          <w:t>https://doi.org/10.1057/s41270-019-00058-3</w:t>
        </w:r>
      </w:hyperlink>
    </w:p>
    <w:p w14:paraId="24189F13" w14:textId="77777777" w:rsidR="0089552B" w:rsidRPr="00B8669F" w:rsidRDefault="0089552B" w:rsidP="0089552B">
      <w:pPr>
        <w:spacing w:after="0" w:line="240" w:lineRule="auto"/>
        <w:ind w:left="709" w:hanging="709"/>
        <w:jc w:val="both"/>
        <w:rPr>
          <w:sz w:val="20"/>
          <w:szCs w:val="20"/>
          <w:lang w:val="en-US"/>
        </w:rPr>
      </w:pPr>
    </w:p>
    <w:p w14:paraId="17D2A395" w14:textId="1FA4E352" w:rsidR="002316EB" w:rsidRDefault="00FA373F" w:rsidP="0089552B">
      <w:pPr>
        <w:spacing w:after="0" w:line="240" w:lineRule="auto"/>
        <w:ind w:left="709" w:hanging="709"/>
        <w:jc w:val="both"/>
        <w:rPr>
          <w:sz w:val="20"/>
          <w:szCs w:val="20"/>
        </w:rPr>
      </w:pPr>
      <w:proofErr w:type="spellStart"/>
      <w:r w:rsidRPr="00B8669F">
        <w:rPr>
          <w:sz w:val="20"/>
          <w:szCs w:val="20"/>
          <w:lang w:val="en-US"/>
        </w:rPr>
        <w:t>Suarina</w:t>
      </w:r>
      <w:proofErr w:type="spellEnd"/>
      <w:r w:rsidRPr="00B8669F">
        <w:rPr>
          <w:sz w:val="20"/>
          <w:szCs w:val="20"/>
          <w:lang w:val="en-US"/>
        </w:rPr>
        <w:t xml:space="preserve"> Canals, C. (2002). </w:t>
      </w:r>
      <w:r>
        <w:rPr>
          <w:sz w:val="20"/>
          <w:szCs w:val="20"/>
        </w:rPr>
        <w:t xml:space="preserve">Medida de la Calidad: Adaptación de la escala </w:t>
      </w:r>
      <w:proofErr w:type="spellStart"/>
      <w:r>
        <w:rPr>
          <w:sz w:val="20"/>
          <w:szCs w:val="20"/>
        </w:rPr>
        <w:t>Servqual</w:t>
      </w:r>
      <w:proofErr w:type="spellEnd"/>
      <w:r>
        <w:rPr>
          <w:sz w:val="20"/>
          <w:szCs w:val="20"/>
        </w:rPr>
        <w:t xml:space="preserve"> al ámbito financiero. </w:t>
      </w:r>
      <w:r>
        <w:rPr>
          <w:i/>
          <w:sz w:val="20"/>
          <w:szCs w:val="20"/>
        </w:rPr>
        <w:t>Revista Española de Financiación y Contabilidad</w:t>
      </w:r>
      <w:r>
        <w:rPr>
          <w:sz w:val="20"/>
          <w:szCs w:val="20"/>
        </w:rPr>
        <w:t xml:space="preserve">, </w:t>
      </w:r>
      <w:r>
        <w:rPr>
          <w:i/>
          <w:sz w:val="20"/>
          <w:szCs w:val="20"/>
        </w:rPr>
        <w:t>31</w:t>
      </w:r>
      <w:r>
        <w:rPr>
          <w:sz w:val="20"/>
          <w:szCs w:val="20"/>
        </w:rPr>
        <w:t xml:space="preserve">(113), 803-831. </w:t>
      </w:r>
      <w:hyperlink r:id="rId54" w:history="1">
        <w:r w:rsidR="0089552B" w:rsidRPr="00604172">
          <w:rPr>
            <w:rStyle w:val="Hipervnculo"/>
            <w:sz w:val="20"/>
            <w:szCs w:val="20"/>
          </w:rPr>
          <w:t>https://doi.org/10.1080/02102412.2002.10779462</w:t>
        </w:r>
      </w:hyperlink>
    </w:p>
    <w:p w14:paraId="5125170F" w14:textId="77777777" w:rsidR="0089552B" w:rsidRDefault="0089552B" w:rsidP="0089552B">
      <w:pPr>
        <w:spacing w:after="0" w:line="240" w:lineRule="auto"/>
        <w:ind w:left="709" w:hanging="709"/>
        <w:jc w:val="both"/>
        <w:rPr>
          <w:sz w:val="20"/>
          <w:szCs w:val="20"/>
        </w:rPr>
      </w:pPr>
    </w:p>
    <w:p w14:paraId="06DA43B4" w14:textId="4D41837B" w:rsidR="002316EB" w:rsidRDefault="00FA373F" w:rsidP="0089552B">
      <w:pPr>
        <w:spacing w:after="0" w:line="240" w:lineRule="auto"/>
        <w:ind w:left="709" w:hanging="709"/>
        <w:jc w:val="both"/>
        <w:rPr>
          <w:sz w:val="20"/>
          <w:szCs w:val="20"/>
          <w:lang w:val="en-US"/>
        </w:rPr>
      </w:pPr>
      <w:proofErr w:type="spellStart"/>
      <w:r>
        <w:rPr>
          <w:sz w:val="20"/>
          <w:szCs w:val="20"/>
        </w:rPr>
        <w:t>Tardivo</w:t>
      </w:r>
      <w:proofErr w:type="spellEnd"/>
      <w:r>
        <w:rPr>
          <w:sz w:val="20"/>
          <w:szCs w:val="20"/>
        </w:rPr>
        <w:t xml:space="preserve">, G., </w:t>
      </w:r>
      <w:proofErr w:type="spellStart"/>
      <w:r>
        <w:rPr>
          <w:sz w:val="20"/>
          <w:szCs w:val="20"/>
        </w:rPr>
        <w:t>Viassone</w:t>
      </w:r>
      <w:proofErr w:type="spellEnd"/>
      <w:r>
        <w:rPr>
          <w:sz w:val="20"/>
          <w:szCs w:val="20"/>
        </w:rPr>
        <w:t xml:space="preserve">, M. y Gola, G. L. (2014). </w:t>
      </w:r>
      <w:proofErr w:type="gramStart"/>
      <w:r w:rsidRPr="00B8669F">
        <w:rPr>
          <w:sz w:val="20"/>
          <w:szCs w:val="20"/>
          <w:lang w:val="en-US"/>
        </w:rPr>
        <w:t>Young Customers’ Perception of the Quality of M-banking Services.</w:t>
      </w:r>
      <w:proofErr w:type="gramEnd"/>
      <w:r w:rsidRPr="00B8669F">
        <w:rPr>
          <w:sz w:val="20"/>
          <w:szCs w:val="20"/>
          <w:lang w:val="en-US"/>
        </w:rPr>
        <w:t xml:space="preserve"> </w:t>
      </w:r>
      <w:r w:rsidRPr="00B8669F">
        <w:rPr>
          <w:i/>
          <w:sz w:val="20"/>
          <w:szCs w:val="20"/>
          <w:lang w:val="en-US"/>
        </w:rPr>
        <w:t>Universal Journal of Industrial and Business Management</w:t>
      </w:r>
      <w:r w:rsidRPr="00B8669F">
        <w:rPr>
          <w:sz w:val="20"/>
          <w:szCs w:val="20"/>
          <w:lang w:val="en-US"/>
        </w:rPr>
        <w:t xml:space="preserve">, </w:t>
      </w:r>
      <w:r w:rsidRPr="00B8669F">
        <w:rPr>
          <w:i/>
          <w:sz w:val="20"/>
          <w:szCs w:val="20"/>
          <w:lang w:val="en-US"/>
        </w:rPr>
        <w:t>2</w:t>
      </w:r>
      <w:r w:rsidRPr="00B8669F">
        <w:rPr>
          <w:sz w:val="20"/>
          <w:szCs w:val="20"/>
          <w:lang w:val="en-US"/>
        </w:rPr>
        <w:t xml:space="preserve">(8), 200-209. </w:t>
      </w:r>
      <w:r w:rsidRPr="00B8669F">
        <w:rPr>
          <w:lang w:val="en-US"/>
        </w:rPr>
        <w:t xml:space="preserve"> </w:t>
      </w:r>
      <w:hyperlink r:id="rId55" w:history="1">
        <w:r w:rsidR="0089552B" w:rsidRPr="00604172">
          <w:rPr>
            <w:rStyle w:val="Hipervnculo"/>
            <w:sz w:val="20"/>
            <w:szCs w:val="20"/>
            <w:lang w:val="en-US"/>
          </w:rPr>
          <w:t>https://www.hrpub.org/journals/article_info.php?aid=2004</w:t>
        </w:r>
      </w:hyperlink>
    </w:p>
    <w:p w14:paraId="1C2D4AB4" w14:textId="77777777" w:rsidR="0089552B" w:rsidRPr="00B8669F" w:rsidRDefault="0089552B" w:rsidP="0089552B">
      <w:pPr>
        <w:spacing w:after="0" w:line="240" w:lineRule="auto"/>
        <w:ind w:left="709" w:hanging="709"/>
        <w:jc w:val="both"/>
        <w:rPr>
          <w:sz w:val="20"/>
          <w:szCs w:val="20"/>
          <w:lang w:val="en-US"/>
        </w:rPr>
      </w:pPr>
    </w:p>
    <w:p w14:paraId="7E64092F" w14:textId="3FEDE991" w:rsidR="002316EB" w:rsidRDefault="00FA373F" w:rsidP="0089552B">
      <w:pPr>
        <w:spacing w:after="0" w:line="240" w:lineRule="auto"/>
        <w:ind w:left="709" w:hanging="709"/>
        <w:jc w:val="both"/>
        <w:rPr>
          <w:sz w:val="20"/>
          <w:szCs w:val="20"/>
        </w:rPr>
      </w:pPr>
      <w:r>
        <w:rPr>
          <w:sz w:val="20"/>
          <w:szCs w:val="20"/>
        </w:rPr>
        <w:t xml:space="preserve">Torres Fragoso, J. y Luna Espinoza, I. (2017). Evaluación de la percepción de la calidad de los servicios bancarios mediante el modelo SERVPERF. </w:t>
      </w:r>
      <w:r>
        <w:rPr>
          <w:i/>
          <w:sz w:val="20"/>
          <w:szCs w:val="20"/>
        </w:rPr>
        <w:t>Contaduría y Administración</w:t>
      </w:r>
      <w:r>
        <w:rPr>
          <w:sz w:val="20"/>
          <w:szCs w:val="20"/>
        </w:rPr>
        <w:t xml:space="preserve">, </w:t>
      </w:r>
      <w:r>
        <w:rPr>
          <w:i/>
          <w:sz w:val="20"/>
          <w:szCs w:val="20"/>
        </w:rPr>
        <w:t>62</w:t>
      </w:r>
      <w:r>
        <w:rPr>
          <w:sz w:val="20"/>
          <w:szCs w:val="20"/>
        </w:rPr>
        <w:t xml:space="preserve">(4), 1270-1293. </w:t>
      </w:r>
      <w:hyperlink r:id="rId56" w:history="1">
        <w:r w:rsidR="0089552B" w:rsidRPr="00604172">
          <w:rPr>
            <w:rStyle w:val="Hipervnculo"/>
            <w:sz w:val="20"/>
            <w:szCs w:val="20"/>
          </w:rPr>
          <w:t>https://doi.org/10.1016/j.cya.2016.01.009</w:t>
        </w:r>
      </w:hyperlink>
    </w:p>
    <w:p w14:paraId="6085449F" w14:textId="77777777" w:rsidR="0089552B" w:rsidRDefault="0089552B" w:rsidP="0089552B">
      <w:pPr>
        <w:spacing w:after="0" w:line="240" w:lineRule="auto"/>
        <w:ind w:left="709" w:hanging="709"/>
        <w:jc w:val="both"/>
        <w:rPr>
          <w:sz w:val="20"/>
          <w:szCs w:val="20"/>
        </w:rPr>
      </w:pPr>
    </w:p>
    <w:p w14:paraId="5EC14423" w14:textId="25264608" w:rsidR="002316EB" w:rsidRDefault="00FA373F" w:rsidP="0089552B">
      <w:pPr>
        <w:spacing w:after="0" w:line="240" w:lineRule="auto"/>
        <w:ind w:left="709" w:hanging="709"/>
        <w:jc w:val="both"/>
        <w:rPr>
          <w:sz w:val="20"/>
          <w:szCs w:val="20"/>
          <w:lang w:val="en-US"/>
        </w:rPr>
      </w:pPr>
      <w:r>
        <w:rPr>
          <w:sz w:val="20"/>
          <w:szCs w:val="20"/>
        </w:rPr>
        <w:t xml:space="preserve">Vargas, M. E. y Aldana, L. (2014). </w:t>
      </w:r>
      <w:r>
        <w:rPr>
          <w:i/>
          <w:sz w:val="20"/>
          <w:szCs w:val="20"/>
        </w:rPr>
        <w:t>Calidad y servicio: conceptos y herramientas</w:t>
      </w:r>
      <w:r>
        <w:rPr>
          <w:sz w:val="20"/>
          <w:szCs w:val="20"/>
        </w:rPr>
        <w:t xml:space="preserve"> (3ª ed.). </w:t>
      </w:r>
      <w:proofErr w:type="spellStart"/>
      <w:r w:rsidRPr="00B8669F">
        <w:rPr>
          <w:sz w:val="20"/>
          <w:szCs w:val="20"/>
          <w:lang w:val="en-US"/>
        </w:rPr>
        <w:t>Ecoe</w:t>
      </w:r>
      <w:proofErr w:type="spellEnd"/>
      <w:r w:rsidRPr="00B8669F">
        <w:rPr>
          <w:sz w:val="20"/>
          <w:szCs w:val="20"/>
          <w:lang w:val="en-US"/>
        </w:rPr>
        <w:t xml:space="preserve"> </w:t>
      </w:r>
      <w:proofErr w:type="spellStart"/>
      <w:r w:rsidRPr="00B8669F">
        <w:rPr>
          <w:sz w:val="20"/>
          <w:szCs w:val="20"/>
          <w:lang w:val="en-US"/>
        </w:rPr>
        <w:t>Ediciones</w:t>
      </w:r>
      <w:proofErr w:type="spellEnd"/>
      <w:r w:rsidRPr="00B8669F">
        <w:rPr>
          <w:sz w:val="20"/>
          <w:szCs w:val="20"/>
          <w:lang w:val="en-US"/>
        </w:rPr>
        <w:t>.</w:t>
      </w:r>
    </w:p>
    <w:p w14:paraId="48595907" w14:textId="77777777" w:rsidR="0089552B" w:rsidRPr="00B8669F" w:rsidRDefault="0089552B" w:rsidP="0089552B">
      <w:pPr>
        <w:spacing w:after="0" w:line="240" w:lineRule="auto"/>
        <w:ind w:left="709" w:hanging="709"/>
        <w:jc w:val="both"/>
        <w:rPr>
          <w:sz w:val="20"/>
          <w:szCs w:val="20"/>
          <w:lang w:val="en-US"/>
        </w:rPr>
      </w:pPr>
    </w:p>
    <w:p w14:paraId="375FDA7E" w14:textId="50E8D90D" w:rsidR="002316EB" w:rsidRDefault="00FA373F" w:rsidP="0089552B">
      <w:pPr>
        <w:spacing w:after="0" w:line="240" w:lineRule="auto"/>
        <w:ind w:left="709" w:hanging="709"/>
        <w:jc w:val="both"/>
        <w:rPr>
          <w:sz w:val="20"/>
          <w:szCs w:val="20"/>
          <w:lang w:val="en-US"/>
        </w:rPr>
      </w:pPr>
      <w:proofErr w:type="spellStart"/>
      <w:r w:rsidRPr="003729BD">
        <w:rPr>
          <w:sz w:val="20"/>
          <w:szCs w:val="20"/>
          <w:lang w:val="es-AR"/>
        </w:rPr>
        <w:t>Yalley</w:t>
      </w:r>
      <w:proofErr w:type="spellEnd"/>
      <w:r w:rsidRPr="003729BD">
        <w:rPr>
          <w:sz w:val="20"/>
          <w:szCs w:val="20"/>
          <w:lang w:val="es-AR"/>
        </w:rPr>
        <w:t xml:space="preserve">, A. A. y </w:t>
      </w:r>
      <w:proofErr w:type="spellStart"/>
      <w:r w:rsidRPr="003729BD">
        <w:rPr>
          <w:sz w:val="20"/>
          <w:szCs w:val="20"/>
          <w:lang w:val="es-AR"/>
        </w:rPr>
        <w:t>Agyapong</w:t>
      </w:r>
      <w:proofErr w:type="spellEnd"/>
      <w:r w:rsidRPr="003729BD">
        <w:rPr>
          <w:sz w:val="20"/>
          <w:szCs w:val="20"/>
          <w:lang w:val="es-AR"/>
        </w:rPr>
        <w:t xml:space="preserve">, G. K. (2017). </w:t>
      </w:r>
      <w:proofErr w:type="gramStart"/>
      <w:r w:rsidRPr="00B8669F">
        <w:rPr>
          <w:sz w:val="20"/>
          <w:szCs w:val="20"/>
          <w:lang w:val="en-US"/>
        </w:rPr>
        <w:t xml:space="preserve">Measuring service quality in Ghana: a </w:t>
      </w:r>
      <w:proofErr w:type="spellStart"/>
      <w:r w:rsidRPr="00B8669F">
        <w:rPr>
          <w:sz w:val="20"/>
          <w:szCs w:val="20"/>
          <w:lang w:val="en-US"/>
        </w:rPr>
        <w:t>crossvergence</w:t>
      </w:r>
      <w:proofErr w:type="spellEnd"/>
      <w:r w:rsidRPr="00B8669F">
        <w:rPr>
          <w:sz w:val="20"/>
          <w:szCs w:val="20"/>
          <w:lang w:val="en-US"/>
        </w:rPr>
        <w:t xml:space="preserve"> cultural perspective.</w:t>
      </w:r>
      <w:proofErr w:type="gramEnd"/>
      <w:r w:rsidRPr="00B8669F">
        <w:rPr>
          <w:sz w:val="20"/>
          <w:szCs w:val="20"/>
          <w:lang w:val="en-US"/>
        </w:rPr>
        <w:t xml:space="preserve"> </w:t>
      </w:r>
      <w:r w:rsidRPr="00B8669F">
        <w:rPr>
          <w:i/>
          <w:sz w:val="20"/>
          <w:szCs w:val="20"/>
          <w:lang w:val="en-US"/>
        </w:rPr>
        <w:t>Journal of Financial Services Marketing</w:t>
      </w:r>
      <w:r w:rsidRPr="00B8669F">
        <w:rPr>
          <w:sz w:val="20"/>
          <w:szCs w:val="20"/>
          <w:lang w:val="en-US"/>
        </w:rPr>
        <w:t xml:space="preserve">, </w:t>
      </w:r>
      <w:r w:rsidRPr="00B8669F">
        <w:rPr>
          <w:i/>
          <w:sz w:val="20"/>
          <w:szCs w:val="20"/>
          <w:lang w:val="en-US"/>
        </w:rPr>
        <w:t>22</w:t>
      </w:r>
      <w:r w:rsidRPr="00B8669F">
        <w:rPr>
          <w:sz w:val="20"/>
          <w:szCs w:val="20"/>
          <w:lang w:val="en-US"/>
        </w:rPr>
        <w:t xml:space="preserve">(2), 43-53. </w:t>
      </w:r>
      <w:hyperlink r:id="rId57" w:history="1">
        <w:r w:rsidR="0089552B" w:rsidRPr="00604172">
          <w:rPr>
            <w:rStyle w:val="Hipervnculo"/>
            <w:sz w:val="20"/>
            <w:szCs w:val="20"/>
            <w:lang w:val="en-US"/>
          </w:rPr>
          <w:t>https://doi.org/10.1057/s41264-017-0021-x</w:t>
        </w:r>
      </w:hyperlink>
    </w:p>
    <w:p w14:paraId="2B6FCD0B" w14:textId="77777777" w:rsidR="0089552B" w:rsidRPr="00B8669F" w:rsidRDefault="0089552B" w:rsidP="0089552B">
      <w:pPr>
        <w:spacing w:after="0" w:line="240" w:lineRule="auto"/>
        <w:ind w:left="709" w:hanging="709"/>
        <w:jc w:val="both"/>
        <w:rPr>
          <w:sz w:val="20"/>
          <w:szCs w:val="20"/>
          <w:lang w:val="en-US"/>
        </w:rPr>
      </w:pPr>
    </w:p>
    <w:p w14:paraId="734DDD33" w14:textId="4BF49DC6" w:rsidR="002316EB" w:rsidRDefault="00FA373F" w:rsidP="0089552B">
      <w:pPr>
        <w:spacing w:after="0" w:line="240" w:lineRule="auto"/>
        <w:ind w:left="709" w:hanging="709"/>
        <w:jc w:val="both"/>
        <w:rPr>
          <w:sz w:val="20"/>
          <w:szCs w:val="20"/>
        </w:rPr>
      </w:pPr>
      <w:proofErr w:type="spellStart"/>
      <w:r w:rsidRPr="00B8669F">
        <w:rPr>
          <w:sz w:val="20"/>
          <w:szCs w:val="20"/>
          <w:lang w:val="en-US"/>
        </w:rPr>
        <w:t>Zuñiga</w:t>
      </w:r>
      <w:proofErr w:type="spellEnd"/>
      <w:r w:rsidRPr="00B8669F">
        <w:rPr>
          <w:sz w:val="20"/>
          <w:szCs w:val="20"/>
          <w:lang w:val="en-US"/>
        </w:rPr>
        <w:t xml:space="preserve">, A. E. (2019). </w:t>
      </w:r>
      <w:r>
        <w:rPr>
          <w:i/>
          <w:sz w:val="20"/>
          <w:szCs w:val="20"/>
        </w:rPr>
        <w:t xml:space="preserve">Mejora del proceso de colocación de crédito para pequeña empresa del área comercial de Caja Rural </w:t>
      </w:r>
      <w:proofErr w:type="spellStart"/>
      <w:r>
        <w:rPr>
          <w:i/>
          <w:sz w:val="20"/>
          <w:szCs w:val="20"/>
        </w:rPr>
        <w:t>Prymera</w:t>
      </w:r>
      <w:proofErr w:type="spellEnd"/>
      <w:r>
        <w:rPr>
          <w:sz w:val="20"/>
          <w:szCs w:val="20"/>
        </w:rPr>
        <w:t xml:space="preserve"> [Tesis de Pregrado. Universidad San Ignacio de Loyola, Lima, Perú]. </w:t>
      </w:r>
      <w:hyperlink r:id="rId58" w:history="1">
        <w:r w:rsidR="0089552B" w:rsidRPr="00604172">
          <w:rPr>
            <w:rStyle w:val="Hipervnculo"/>
            <w:sz w:val="20"/>
            <w:szCs w:val="20"/>
          </w:rPr>
          <w:t>http://repositorio.usil.edu.pe/handle/USIL/9178</w:t>
        </w:r>
      </w:hyperlink>
    </w:p>
    <w:p w14:paraId="7B7DD8B1" w14:textId="77777777" w:rsidR="0089552B" w:rsidRDefault="0089552B" w:rsidP="0089552B">
      <w:pPr>
        <w:spacing w:after="0" w:line="240" w:lineRule="auto"/>
        <w:ind w:left="709" w:hanging="709"/>
        <w:jc w:val="both"/>
        <w:rPr>
          <w:sz w:val="20"/>
          <w:szCs w:val="20"/>
        </w:rPr>
      </w:pPr>
    </w:p>
    <w:p w14:paraId="0D2BEE08" w14:textId="77777777" w:rsidR="002316EB" w:rsidRDefault="002316EB" w:rsidP="0089552B">
      <w:pPr>
        <w:spacing w:after="0" w:line="240" w:lineRule="auto"/>
        <w:ind w:firstLine="708"/>
        <w:jc w:val="both"/>
      </w:pPr>
    </w:p>
    <w:sectPr w:rsidR="002316EB" w:rsidSect="0089552B">
      <w:pgSz w:w="12240" w:h="15840"/>
      <w:pgMar w:top="1417" w:right="1701" w:bottom="1417" w:left="1701"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Roboto">
    <w:altName w:val="Arial"/>
    <w:charset w:val="00"/>
    <w:family w:val="auto"/>
    <w:pitch w:val="default"/>
  </w:font>
  <w:font w:name="Oswald Regular">
    <w:altName w:val="Times New Roman"/>
    <w:charset w:val="00"/>
    <w:family w:val="auto"/>
    <w:pitch w:val="default"/>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1FB0"/>
    <w:multiLevelType w:val="hybridMultilevel"/>
    <w:tmpl w:val="1B6C62D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B1C5823"/>
    <w:multiLevelType w:val="hybridMultilevel"/>
    <w:tmpl w:val="0644D98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5D9280A"/>
    <w:multiLevelType w:val="hybridMultilevel"/>
    <w:tmpl w:val="3C084C8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52A8320E"/>
    <w:multiLevelType w:val="hybridMultilevel"/>
    <w:tmpl w:val="BAA4A59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797E28BF"/>
    <w:multiLevelType w:val="hybridMultilevel"/>
    <w:tmpl w:val="5E78862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6EB"/>
    <w:rsid w:val="00035DE8"/>
    <w:rsid w:val="000E0C8F"/>
    <w:rsid w:val="001359D1"/>
    <w:rsid w:val="002316EB"/>
    <w:rsid w:val="00277919"/>
    <w:rsid w:val="003160B9"/>
    <w:rsid w:val="003451F6"/>
    <w:rsid w:val="003729BD"/>
    <w:rsid w:val="00384CE8"/>
    <w:rsid w:val="003930B2"/>
    <w:rsid w:val="003F5529"/>
    <w:rsid w:val="00426643"/>
    <w:rsid w:val="00491F1C"/>
    <w:rsid w:val="00563AD9"/>
    <w:rsid w:val="0060765E"/>
    <w:rsid w:val="00783631"/>
    <w:rsid w:val="00844A71"/>
    <w:rsid w:val="00884E5D"/>
    <w:rsid w:val="00893663"/>
    <w:rsid w:val="0089552B"/>
    <w:rsid w:val="00897F32"/>
    <w:rsid w:val="008A0B7A"/>
    <w:rsid w:val="00925901"/>
    <w:rsid w:val="00A373E7"/>
    <w:rsid w:val="00AC74A6"/>
    <w:rsid w:val="00B15804"/>
    <w:rsid w:val="00B24AF4"/>
    <w:rsid w:val="00B8669F"/>
    <w:rsid w:val="00BD0452"/>
    <w:rsid w:val="00C61CE0"/>
    <w:rsid w:val="00CF2298"/>
    <w:rsid w:val="00D4186A"/>
    <w:rsid w:val="00D452AF"/>
    <w:rsid w:val="00DF5100"/>
    <w:rsid w:val="00EB330C"/>
    <w:rsid w:val="00F3074E"/>
    <w:rsid w:val="00F9099C"/>
    <w:rsid w:val="00FA373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5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ES_tradn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B03"/>
  </w:style>
  <w:style w:type="paragraph" w:styleId="Ttulo1">
    <w:name w:val="heading 1"/>
    <w:basedOn w:val="Normal"/>
    <w:next w:val="Normal"/>
    <w:link w:val="Ttulo1Car"/>
    <w:uiPriority w:val="9"/>
    <w:qFormat/>
    <w:rsid w:val="00DF76A3"/>
    <w:pPr>
      <w:keepNext/>
      <w:keepLines/>
      <w:spacing w:before="240" w:after="0"/>
      <w:outlineLvl w:val="0"/>
    </w:pPr>
    <w:rPr>
      <w:rFonts w:asciiTheme="majorHAnsi" w:eastAsiaTheme="majorEastAsia" w:hAnsiTheme="majorHAnsi" w:cstheme="majorBidi"/>
      <w:color w:val="2F5496" w:themeColor="accent1" w:themeShade="BF"/>
      <w:sz w:val="32"/>
      <w:szCs w:val="32"/>
      <w:lang w:eastAsia="es-PE"/>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DF76A3"/>
    <w:rPr>
      <w:rFonts w:asciiTheme="majorHAnsi" w:eastAsiaTheme="majorEastAsia" w:hAnsiTheme="majorHAnsi" w:cstheme="majorBidi"/>
      <w:color w:val="2F5496" w:themeColor="accent1" w:themeShade="BF"/>
      <w:sz w:val="32"/>
      <w:szCs w:val="32"/>
      <w:lang w:eastAsia="es-PE"/>
    </w:rPr>
  </w:style>
  <w:style w:type="paragraph" w:styleId="Bibliografa">
    <w:name w:val="Bibliography"/>
    <w:basedOn w:val="Normal"/>
    <w:next w:val="Normal"/>
    <w:uiPriority w:val="37"/>
    <w:unhideWhenUsed/>
    <w:rsid w:val="00DF76A3"/>
  </w:style>
  <w:style w:type="paragraph" w:styleId="Textoindependiente">
    <w:name w:val="Body Text"/>
    <w:basedOn w:val="Normal"/>
    <w:link w:val="TextoindependienteCar"/>
    <w:uiPriority w:val="1"/>
    <w:qFormat/>
    <w:rsid w:val="00AB1B8E"/>
    <w:pPr>
      <w:widowControl w:val="0"/>
      <w:spacing w:after="0" w:line="240" w:lineRule="auto"/>
    </w:pPr>
    <w:rPr>
      <w:rFonts w:ascii="Arial" w:eastAsia="Arial" w:hAnsi="Arial" w:cs="Arial"/>
      <w:sz w:val="16"/>
      <w:szCs w:val="16"/>
      <w:lang w:val="en-US"/>
    </w:rPr>
  </w:style>
  <w:style w:type="character" w:customStyle="1" w:styleId="TextoindependienteCar">
    <w:name w:val="Texto independiente Car"/>
    <w:basedOn w:val="Fuentedeprrafopredeter"/>
    <w:link w:val="Textoindependiente"/>
    <w:uiPriority w:val="1"/>
    <w:rsid w:val="00AB1B8E"/>
    <w:rPr>
      <w:rFonts w:ascii="Arial" w:eastAsia="Arial" w:hAnsi="Arial" w:cs="Arial"/>
      <w:sz w:val="16"/>
      <w:szCs w:val="16"/>
      <w:lang w:val="en-US"/>
    </w:rPr>
  </w:style>
  <w:style w:type="paragraph" w:styleId="Prrafodelista">
    <w:name w:val="List Paragraph"/>
    <w:basedOn w:val="Normal"/>
    <w:uiPriority w:val="1"/>
    <w:qFormat/>
    <w:rsid w:val="00AB1B8E"/>
    <w:pPr>
      <w:widowControl w:val="0"/>
      <w:spacing w:after="0" w:line="240" w:lineRule="auto"/>
    </w:pPr>
    <w:rPr>
      <w:rFonts w:ascii="Arial" w:eastAsia="Arial" w:hAnsi="Arial" w:cs="Arial"/>
      <w:lang w:val="en-US"/>
    </w:rPr>
  </w:style>
  <w:style w:type="character" w:styleId="Hipervnculo">
    <w:name w:val="Hyperlink"/>
    <w:basedOn w:val="Fuentedeprrafopredeter"/>
    <w:uiPriority w:val="99"/>
    <w:unhideWhenUsed/>
    <w:rsid w:val="00EC602E"/>
    <w:rPr>
      <w:color w:val="0000FF"/>
      <w:u w:val="single"/>
    </w:rPr>
  </w:style>
  <w:style w:type="character" w:customStyle="1" w:styleId="comma">
    <w:name w:val="comma"/>
    <w:basedOn w:val="Fuentedeprrafopredeter"/>
    <w:rsid w:val="00EC602E"/>
  </w:style>
  <w:style w:type="paragraph" w:customStyle="1" w:styleId="Default">
    <w:name w:val="Default"/>
    <w:rsid w:val="009826AC"/>
    <w:pPr>
      <w:autoSpaceDE w:val="0"/>
      <w:autoSpaceDN w:val="0"/>
      <w:adjustRightInd w:val="0"/>
      <w:spacing w:after="0" w:line="240" w:lineRule="auto"/>
    </w:pPr>
    <w:rPr>
      <w:rFonts w:ascii="Times New Roman" w:hAnsi="Times New Roman" w:cs="Times New Roman"/>
      <w:color w:val="000000"/>
      <w:sz w:val="24"/>
      <w:szCs w:val="24"/>
    </w:rPr>
  </w:style>
  <w:style w:type="paragraph" w:styleId="HTMLconformatoprevio">
    <w:name w:val="HTML Preformatted"/>
    <w:basedOn w:val="Normal"/>
    <w:link w:val="HTMLconformatoprevioCar"/>
    <w:uiPriority w:val="99"/>
    <w:unhideWhenUsed/>
    <w:rsid w:val="00FD5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FD5373"/>
    <w:rPr>
      <w:rFonts w:ascii="Courier New" w:eastAsia="Times New Roman" w:hAnsi="Courier New" w:cs="Courier New"/>
      <w:sz w:val="20"/>
      <w:szCs w:val="20"/>
      <w:lang w:eastAsia="es-PE"/>
    </w:rPr>
  </w:style>
  <w:style w:type="character" w:styleId="Textoennegrita">
    <w:name w:val="Strong"/>
    <w:basedOn w:val="Fuentedeprrafopredeter"/>
    <w:uiPriority w:val="22"/>
    <w:qFormat/>
    <w:rsid w:val="00F87356"/>
    <w:rPr>
      <w:b/>
      <w:bCs/>
    </w:rPr>
  </w:style>
  <w:style w:type="paragraph" w:styleId="Encabezado">
    <w:name w:val="header"/>
    <w:basedOn w:val="Normal"/>
    <w:link w:val="EncabezadoCar"/>
    <w:uiPriority w:val="99"/>
    <w:unhideWhenUsed/>
    <w:rsid w:val="00752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2E31"/>
  </w:style>
  <w:style w:type="paragraph" w:styleId="Piedepgina">
    <w:name w:val="footer"/>
    <w:basedOn w:val="Normal"/>
    <w:link w:val="PiedepginaCar"/>
    <w:uiPriority w:val="99"/>
    <w:unhideWhenUsed/>
    <w:rsid w:val="00752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2E31"/>
  </w:style>
  <w:style w:type="paragraph" w:styleId="Textodeglobo">
    <w:name w:val="Balloon Text"/>
    <w:basedOn w:val="Normal"/>
    <w:link w:val="TextodegloboCar"/>
    <w:uiPriority w:val="99"/>
    <w:semiHidden/>
    <w:unhideWhenUsed/>
    <w:rsid w:val="00BF61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61B0"/>
    <w:rPr>
      <w:rFonts w:ascii="Tahoma" w:hAnsi="Tahoma" w:cs="Tahoma"/>
      <w:sz w:val="16"/>
      <w:szCs w:val="16"/>
    </w:rPr>
  </w:style>
  <w:style w:type="character" w:styleId="Refdecomentario">
    <w:name w:val="annotation reference"/>
    <w:basedOn w:val="Fuentedeprrafopredeter"/>
    <w:uiPriority w:val="99"/>
    <w:semiHidden/>
    <w:unhideWhenUsed/>
    <w:rsid w:val="009645AC"/>
    <w:rPr>
      <w:sz w:val="16"/>
      <w:szCs w:val="16"/>
    </w:rPr>
  </w:style>
  <w:style w:type="paragraph" w:styleId="Textocomentario">
    <w:name w:val="annotation text"/>
    <w:basedOn w:val="Normal"/>
    <w:link w:val="TextocomentarioCar"/>
    <w:uiPriority w:val="99"/>
    <w:semiHidden/>
    <w:unhideWhenUsed/>
    <w:rsid w:val="009645A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645AC"/>
    <w:rPr>
      <w:sz w:val="20"/>
      <w:szCs w:val="20"/>
    </w:rPr>
  </w:style>
  <w:style w:type="paragraph" w:styleId="Asuntodelcomentario">
    <w:name w:val="annotation subject"/>
    <w:basedOn w:val="Textocomentario"/>
    <w:next w:val="Textocomentario"/>
    <w:link w:val="AsuntodelcomentarioCar"/>
    <w:uiPriority w:val="99"/>
    <w:semiHidden/>
    <w:unhideWhenUsed/>
    <w:rsid w:val="009645AC"/>
    <w:rPr>
      <w:b/>
      <w:bCs/>
    </w:rPr>
  </w:style>
  <w:style w:type="character" w:customStyle="1" w:styleId="AsuntodelcomentarioCar">
    <w:name w:val="Asunto del comentario Car"/>
    <w:basedOn w:val="TextocomentarioCar"/>
    <w:link w:val="Asuntodelcomentario"/>
    <w:uiPriority w:val="99"/>
    <w:semiHidden/>
    <w:rsid w:val="009645AC"/>
    <w:rPr>
      <w:b/>
      <w:bCs/>
      <w:sz w:val="20"/>
      <w:szCs w:val="20"/>
    </w:rPr>
  </w:style>
  <w:style w:type="table" w:styleId="Tablaconcuadrcula">
    <w:name w:val="Table Grid"/>
    <w:basedOn w:val="Tablanormal"/>
    <w:uiPriority w:val="39"/>
    <w:rsid w:val="00E50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character" w:customStyle="1" w:styleId="UnresolvedMention">
    <w:name w:val="Unresolved Mention"/>
    <w:basedOn w:val="Fuentedeprrafopredeter"/>
    <w:uiPriority w:val="99"/>
    <w:semiHidden/>
    <w:unhideWhenUsed/>
    <w:rsid w:val="008955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ES_tradn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B03"/>
  </w:style>
  <w:style w:type="paragraph" w:styleId="Ttulo1">
    <w:name w:val="heading 1"/>
    <w:basedOn w:val="Normal"/>
    <w:next w:val="Normal"/>
    <w:link w:val="Ttulo1Car"/>
    <w:uiPriority w:val="9"/>
    <w:qFormat/>
    <w:rsid w:val="00DF76A3"/>
    <w:pPr>
      <w:keepNext/>
      <w:keepLines/>
      <w:spacing w:before="240" w:after="0"/>
      <w:outlineLvl w:val="0"/>
    </w:pPr>
    <w:rPr>
      <w:rFonts w:asciiTheme="majorHAnsi" w:eastAsiaTheme="majorEastAsia" w:hAnsiTheme="majorHAnsi" w:cstheme="majorBidi"/>
      <w:color w:val="2F5496" w:themeColor="accent1" w:themeShade="BF"/>
      <w:sz w:val="32"/>
      <w:szCs w:val="32"/>
      <w:lang w:eastAsia="es-PE"/>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DF76A3"/>
    <w:rPr>
      <w:rFonts w:asciiTheme="majorHAnsi" w:eastAsiaTheme="majorEastAsia" w:hAnsiTheme="majorHAnsi" w:cstheme="majorBidi"/>
      <w:color w:val="2F5496" w:themeColor="accent1" w:themeShade="BF"/>
      <w:sz w:val="32"/>
      <w:szCs w:val="32"/>
      <w:lang w:eastAsia="es-PE"/>
    </w:rPr>
  </w:style>
  <w:style w:type="paragraph" w:styleId="Bibliografa">
    <w:name w:val="Bibliography"/>
    <w:basedOn w:val="Normal"/>
    <w:next w:val="Normal"/>
    <w:uiPriority w:val="37"/>
    <w:unhideWhenUsed/>
    <w:rsid w:val="00DF76A3"/>
  </w:style>
  <w:style w:type="paragraph" w:styleId="Textoindependiente">
    <w:name w:val="Body Text"/>
    <w:basedOn w:val="Normal"/>
    <w:link w:val="TextoindependienteCar"/>
    <w:uiPriority w:val="1"/>
    <w:qFormat/>
    <w:rsid w:val="00AB1B8E"/>
    <w:pPr>
      <w:widowControl w:val="0"/>
      <w:spacing w:after="0" w:line="240" w:lineRule="auto"/>
    </w:pPr>
    <w:rPr>
      <w:rFonts w:ascii="Arial" w:eastAsia="Arial" w:hAnsi="Arial" w:cs="Arial"/>
      <w:sz w:val="16"/>
      <w:szCs w:val="16"/>
      <w:lang w:val="en-US"/>
    </w:rPr>
  </w:style>
  <w:style w:type="character" w:customStyle="1" w:styleId="TextoindependienteCar">
    <w:name w:val="Texto independiente Car"/>
    <w:basedOn w:val="Fuentedeprrafopredeter"/>
    <w:link w:val="Textoindependiente"/>
    <w:uiPriority w:val="1"/>
    <w:rsid w:val="00AB1B8E"/>
    <w:rPr>
      <w:rFonts w:ascii="Arial" w:eastAsia="Arial" w:hAnsi="Arial" w:cs="Arial"/>
      <w:sz w:val="16"/>
      <w:szCs w:val="16"/>
      <w:lang w:val="en-US"/>
    </w:rPr>
  </w:style>
  <w:style w:type="paragraph" w:styleId="Prrafodelista">
    <w:name w:val="List Paragraph"/>
    <w:basedOn w:val="Normal"/>
    <w:uiPriority w:val="1"/>
    <w:qFormat/>
    <w:rsid w:val="00AB1B8E"/>
    <w:pPr>
      <w:widowControl w:val="0"/>
      <w:spacing w:after="0" w:line="240" w:lineRule="auto"/>
    </w:pPr>
    <w:rPr>
      <w:rFonts w:ascii="Arial" w:eastAsia="Arial" w:hAnsi="Arial" w:cs="Arial"/>
      <w:lang w:val="en-US"/>
    </w:rPr>
  </w:style>
  <w:style w:type="character" w:styleId="Hipervnculo">
    <w:name w:val="Hyperlink"/>
    <w:basedOn w:val="Fuentedeprrafopredeter"/>
    <w:uiPriority w:val="99"/>
    <w:unhideWhenUsed/>
    <w:rsid w:val="00EC602E"/>
    <w:rPr>
      <w:color w:val="0000FF"/>
      <w:u w:val="single"/>
    </w:rPr>
  </w:style>
  <w:style w:type="character" w:customStyle="1" w:styleId="comma">
    <w:name w:val="comma"/>
    <w:basedOn w:val="Fuentedeprrafopredeter"/>
    <w:rsid w:val="00EC602E"/>
  </w:style>
  <w:style w:type="paragraph" w:customStyle="1" w:styleId="Default">
    <w:name w:val="Default"/>
    <w:rsid w:val="009826AC"/>
    <w:pPr>
      <w:autoSpaceDE w:val="0"/>
      <w:autoSpaceDN w:val="0"/>
      <w:adjustRightInd w:val="0"/>
      <w:spacing w:after="0" w:line="240" w:lineRule="auto"/>
    </w:pPr>
    <w:rPr>
      <w:rFonts w:ascii="Times New Roman" w:hAnsi="Times New Roman" w:cs="Times New Roman"/>
      <w:color w:val="000000"/>
      <w:sz w:val="24"/>
      <w:szCs w:val="24"/>
    </w:rPr>
  </w:style>
  <w:style w:type="paragraph" w:styleId="HTMLconformatoprevio">
    <w:name w:val="HTML Preformatted"/>
    <w:basedOn w:val="Normal"/>
    <w:link w:val="HTMLconformatoprevioCar"/>
    <w:uiPriority w:val="99"/>
    <w:unhideWhenUsed/>
    <w:rsid w:val="00FD5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FD5373"/>
    <w:rPr>
      <w:rFonts w:ascii="Courier New" w:eastAsia="Times New Roman" w:hAnsi="Courier New" w:cs="Courier New"/>
      <w:sz w:val="20"/>
      <w:szCs w:val="20"/>
      <w:lang w:eastAsia="es-PE"/>
    </w:rPr>
  </w:style>
  <w:style w:type="character" w:styleId="Textoennegrita">
    <w:name w:val="Strong"/>
    <w:basedOn w:val="Fuentedeprrafopredeter"/>
    <w:uiPriority w:val="22"/>
    <w:qFormat/>
    <w:rsid w:val="00F87356"/>
    <w:rPr>
      <w:b/>
      <w:bCs/>
    </w:rPr>
  </w:style>
  <w:style w:type="paragraph" w:styleId="Encabezado">
    <w:name w:val="header"/>
    <w:basedOn w:val="Normal"/>
    <w:link w:val="EncabezadoCar"/>
    <w:uiPriority w:val="99"/>
    <w:unhideWhenUsed/>
    <w:rsid w:val="00752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2E31"/>
  </w:style>
  <w:style w:type="paragraph" w:styleId="Piedepgina">
    <w:name w:val="footer"/>
    <w:basedOn w:val="Normal"/>
    <w:link w:val="PiedepginaCar"/>
    <w:uiPriority w:val="99"/>
    <w:unhideWhenUsed/>
    <w:rsid w:val="00752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2E31"/>
  </w:style>
  <w:style w:type="paragraph" w:styleId="Textodeglobo">
    <w:name w:val="Balloon Text"/>
    <w:basedOn w:val="Normal"/>
    <w:link w:val="TextodegloboCar"/>
    <w:uiPriority w:val="99"/>
    <w:semiHidden/>
    <w:unhideWhenUsed/>
    <w:rsid w:val="00BF61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61B0"/>
    <w:rPr>
      <w:rFonts w:ascii="Tahoma" w:hAnsi="Tahoma" w:cs="Tahoma"/>
      <w:sz w:val="16"/>
      <w:szCs w:val="16"/>
    </w:rPr>
  </w:style>
  <w:style w:type="character" w:styleId="Refdecomentario">
    <w:name w:val="annotation reference"/>
    <w:basedOn w:val="Fuentedeprrafopredeter"/>
    <w:uiPriority w:val="99"/>
    <w:semiHidden/>
    <w:unhideWhenUsed/>
    <w:rsid w:val="009645AC"/>
    <w:rPr>
      <w:sz w:val="16"/>
      <w:szCs w:val="16"/>
    </w:rPr>
  </w:style>
  <w:style w:type="paragraph" w:styleId="Textocomentario">
    <w:name w:val="annotation text"/>
    <w:basedOn w:val="Normal"/>
    <w:link w:val="TextocomentarioCar"/>
    <w:uiPriority w:val="99"/>
    <w:semiHidden/>
    <w:unhideWhenUsed/>
    <w:rsid w:val="009645A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645AC"/>
    <w:rPr>
      <w:sz w:val="20"/>
      <w:szCs w:val="20"/>
    </w:rPr>
  </w:style>
  <w:style w:type="paragraph" w:styleId="Asuntodelcomentario">
    <w:name w:val="annotation subject"/>
    <w:basedOn w:val="Textocomentario"/>
    <w:next w:val="Textocomentario"/>
    <w:link w:val="AsuntodelcomentarioCar"/>
    <w:uiPriority w:val="99"/>
    <w:semiHidden/>
    <w:unhideWhenUsed/>
    <w:rsid w:val="009645AC"/>
    <w:rPr>
      <w:b/>
      <w:bCs/>
    </w:rPr>
  </w:style>
  <w:style w:type="character" w:customStyle="1" w:styleId="AsuntodelcomentarioCar">
    <w:name w:val="Asunto del comentario Car"/>
    <w:basedOn w:val="TextocomentarioCar"/>
    <w:link w:val="Asuntodelcomentario"/>
    <w:uiPriority w:val="99"/>
    <w:semiHidden/>
    <w:rsid w:val="009645AC"/>
    <w:rPr>
      <w:b/>
      <w:bCs/>
      <w:sz w:val="20"/>
      <w:szCs w:val="20"/>
    </w:rPr>
  </w:style>
  <w:style w:type="table" w:styleId="Tablaconcuadrcula">
    <w:name w:val="Table Grid"/>
    <w:basedOn w:val="Tablanormal"/>
    <w:uiPriority w:val="39"/>
    <w:rsid w:val="00E50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character" w:customStyle="1" w:styleId="UnresolvedMention">
    <w:name w:val="Unresolved Mention"/>
    <w:basedOn w:val="Fuentedeprrafopredeter"/>
    <w:uiPriority w:val="99"/>
    <w:semiHidden/>
    <w:unhideWhenUsed/>
    <w:rsid w:val="00895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51338">
      <w:bodyDiv w:val="1"/>
      <w:marLeft w:val="0"/>
      <w:marRight w:val="0"/>
      <w:marTop w:val="0"/>
      <w:marBottom w:val="0"/>
      <w:divBdr>
        <w:top w:val="none" w:sz="0" w:space="0" w:color="auto"/>
        <w:left w:val="none" w:sz="0" w:space="0" w:color="auto"/>
        <w:bottom w:val="none" w:sz="0" w:space="0" w:color="auto"/>
        <w:right w:val="none" w:sz="0" w:space="0" w:color="auto"/>
      </w:divBdr>
    </w:div>
    <w:div w:id="201141013">
      <w:bodyDiv w:val="1"/>
      <w:marLeft w:val="0"/>
      <w:marRight w:val="0"/>
      <w:marTop w:val="0"/>
      <w:marBottom w:val="0"/>
      <w:divBdr>
        <w:top w:val="none" w:sz="0" w:space="0" w:color="auto"/>
        <w:left w:val="none" w:sz="0" w:space="0" w:color="auto"/>
        <w:bottom w:val="none" w:sz="0" w:space="0" w:color="auto"/>
        <w:right w:val="none" w:sz="0" w:space="0" w:color="auto"/>
      </w:divBdr>
    </w:div>
    <w:div w:id="381950690">
      <w:bodyDiv w:val="1"/>
      <w:marLeft w:val="0"/>
      <w:marRight w:val="0"/>
      <w:marTop w:val="0"/>
      <w:marBottom w:val="0"/>
      <w:divBdr>
        <w:top w:val="none" w:sz="0" w:space="0" w:color="auto"/>
        <w:left w:val="none" w:sz="0" w:space="0" w:color="auto"/>
        <w:bottom w:val="none" w:sz="0" w:space="0" w:color="auto"/>
        <w:right w:val="none" w:sz="0" w:space="0" w:color="auto"/>
      </w:divBdr>
    </w:div>
    <w:div w:id="495460220">
      <w:bodyDiv w:val="1"/>
      <w:marLeft w:val="0"/>
      <w:marRight w:val="0"/>
      <w:marTop w:val="0"/>
      <w:marBottom w:val="0"/>
      <w:divBdr>
        <w:top w:val="none" w:sz="0" w:space="0" w:color="auto"/>
        <w:left w:val="none" w:sz="0" w:space="0" w:color="auto"/>
        <w:bottom w:val="none" w:sz="0" w:space="0" w:color="auto"/>
        <w:right w:val="none" w:sz="0" w:space="0" w:color="auto"/>
      </w:divBdr>
    </w:div>
    <w:div w:id="521627599">
      <w:bodyDiv w:val="1"/>
      <w:marLeft w:val="0"/>
      <w:marRight w:val="0"/>
      <w:marTop w:val="0"/>
      <w:marBottom w:val="0"/>
      <w:divBdr>
        <w:top w:val="none" w:sz="0" w:space="0" w:color="auto"/>
        <w:left w:val="none" w:sz="0" w:space="0" w:color="auto"/>
        <w:bottom w:val="none" w:sz="0" w:space="0" w:color="auto"/>
        <w:right w:val="none" w:sz="0" w:space="0" w:color="auto"/>
      </w:divBdr>
    </w:div>
    <w:div w:id="917203811">
      <w:bodyDiv w:val="1"/>
      <w:marLeft w:val="0"/>
      <w:marRight w:val="0"/>
      <w:marTop w:val="0"/>
      <w:marBottom w:val="0"/>
      <w:divBdr>
        <w:top w:val="none" w:sz="0" w:space="0" w:color="auto"/>
        <w:left w:val="none" w:sz="0" w:space="0" w:color="auto"/>
        <w:bottom w:val="none" w:sz="0" w:space="0" w:color="auto"/>
        <w:right w:val="none" w:sz="0" w:space="0" w:color="auto"/>
      </w:divBdr>
    </w:div>
    <w:div w:id="1387146308">
      <w:bodyDiv w:val="1"/>
      <w:marLeft w:val="0"/>
      <w:marRight w:val="0"/>
      <w:marTop w:val="0"/>
      <w:marBottom w:val="0"/>
      <w:divBdr>
        <w:top w:val="none" w:sz="0" w:space="0" w:color="auto"/>
        <w:left w:val="none" w:sz="0" w:space="0" w:color="auto"/>
        <w:bottom w:val="none" w:sz="0" w:space="0" w:color="auto"/>
        <w:right w:val="none" w:sz="0" w:space="0" w:color="auto"/>
      </w:divBdr>
    </w:div>
    <w:div w:id="1589658451">
      <w:bodyDiv w:val="1"/>
      <w:marLeft w:val="0"/>
      <w:marRight w:val="0"/>
      <w:marTop w:val="0"/>
      <w:marBottom w:val="0"/>
      <w:divBdr>
        <w:top w:val="none" w:sz="0" w:space="0" w:color="auto"/>
        <w:left w:val="none" w:sz="0" w:space="0" w:color="auto"/>
        <w:bottom w:val="none" w:sz="0" w:space="0" w:color="auto"/>
        <w:right w:val="none" w:sz="0" w:space="0" w:color="auto"/>
      </w:divBdr>
    </w:div>
    <w:div w:id="2062900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revistas.unlp.edu.ar/CADM" TargetMode="External"/><Relationship Id="rId18" Type="http://schemas.openxmlformats.org/officeDocument/2006/relationships/image" Target="media/image5.png"/><Relationship Id="rId26" Type="http://schemas.openxmlformats.org/officeDocument/2006/relationships/hyperlink" Target="http://dspace.espoch.edu.ec/handle/123456789/13217" TargetMode="External"/><Relationship Id="rId39" Type="http://schemas.openxmlformats.org/officeDocument/2006/relationships/hyperlink" Target="https://doi.org/10.23913/ride.v8i16.336" TargetMode="External"/><Relationship Id="rId21" Type="http://schemas.openxmlformats.org/officeDocument/2006/relationships/hyperlink" Target="http://files.pucp.edu.pe/departamento/economia/DDD417.pdf" TargetMode="External"/><Relationship Id="rId34" Type="http://schemas.openxmlformats.org/officeDocument/2006/relationships/hyperlink" Target="https://ssrn.com/abstract=2925828" TargetMode="External"/><Relationship Id="rId42" Type="http://schemas.openxmlformats.org/officeDocument/2006/relationships/hyperlink" Target="https://doi.org/10.1016/j.ihe.2013.08.001" TargetMode="External"/><Relationship Id="rId47" Type="http://schemas.openxmlformats.org/officeDocument/2006/relationships/hyperlink" Target="https://doi.org/10.17163/ret.n20.2020.08" TargetMode="External"/><Relationship Id="rId50" Type="http://schemas.openxmlformats.org/officeDocument/2006/relationships/hyperlink" Target="http://www.redalyc.org/articulo.oa?id=77812441004" TargetMode="External"/><Relationship Id="rId55" Type="http://schemas.openxmlformats.org/officeDocument/2006/relationships/hyperlink" Target="https://www.hrpub.org/journals/article_info.php?aid=2004" TargetMode="External"/><Relationship Id="rId7" Type="http://schemas.openxmlformats.org/officeDocument/2006/relationships/hyperlink" Target="https://orcid.org/0000-0001-9832-5126" TargetMode="External"/><Relationship Id="rId12" Type="http://schemas.openxmlformats.org/officeDocument/2006/relationships/hyperlink" Target="mailto:edwin.ramirez@usanpedro.edu.pe" TargetMode="External"/><Relationship Id="rId17" Type="http://schemas.openxmlformats.org/officeDocument/2006/relationships/image" Target="media/image4.png"/><Relationship Id="rId25" Type="http://schemas.openxmlformats.org/officeDocument/2006/relationships/hyperlink" Target="https://doi.org/10.5585/remark.v8i1.2124" TargetMode="External"/><Relationship Id="rId33" Type="http://schemas.openxmlformats.org/officeDocument/2006/relationships/hyperlink" Target="https://doi.org/10.1108/S1474-7979(2009)0000020014" TargetMode="External"/><Relationship Id="rId38" Type="http://schemas.openxmlformats.org/officeDocument/2006/relationships/hyperlink" Target="https://doi.org/10.1080/02102412.2014.991126" TargetMode="External"/><Relationship Id="rId46" Type="http://schemas.openxmlformats.org/officeDocument/2006/relationships/hyperlink" Target="http://www.icommercecentral.com/open-access/measuring-the-role-of-website-design-assurance-customer-service-and-brand-image-towards-customer-loyalty-and-intention-to-adopt-internet-banking.php?aid=85908"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s://www.bcrp.gob.pe/docs/Publicaciones/Revista-Estudios-Economicos/32/ree-32-fuentes.pdf" TargetMode="External"/><Relationship Id="rId41" Type="http://schemas.openxmlformats.org/officeDocument/2006/relationships/hyperlink" Target="https://doi.org/10.1108/SJME-07-2019-0042" TargetMode="External"/><Relationship Id="rId54" Type="http://schemas.openxmlformats.org/officeDocument/2006/relationships/hyperlink" Target="https://doi.org/10.1080/02102412.2002.1077946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0-0002-9918-7607" TargetMode="External"/><Relationship Id="rId24" Type="http://schemas.openxmlformats.org/officeDocument/2006/relationships/hyperlink" Target="https://www.redalyc.org/pdf/174/17418681003.pdf" TargetMode="External"/><Relationship Id="rId32" Type="http://schemas.openxmlformats.org/officeDocument/2006/relationships/hyperlink" Target="https://doi.org/10.1016/j.cede.2012.12.001" TargetMode="External"/><Relationship Id="rId37" Type="http://schemas.openxmlformats.org/officeDocument/2006/relationships/hyperlink" Target="https://cienciaergosum.uaemex.mx/article/view/12667" TargetMode="External"/><Relationship Id="rId40" Type="http://schemas.openxmlformats.org/officeDocument/2006/relationships/hyperlink" Target="https://doi.org/10.1016/j.jfs.2017.02.004" TargetMode="External"/><Relationship Id="rId45" Type="http://schemas.openxmlformats.org/officeDocument/2006/relationships/hyperlink" Target="https://doi.org/10.1177/1094670504268450" TargetMode="External"/><Relationship Id="rId53" Type="http://schemas.openxmlformats.org/officeDocument/2006/relationships/hyperlink" Target="https://doi.org/10.1057/s41270-019-00058-3" TargetMode="External"/><Relationship Id="rId58" Type="http://schemas.openxmlformats.org/officeDocument/2006/relationships/hyperlink" Target="http://repositorio.usil.edu.pe/handle/USIL/9178"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s://doi.org/10.1016/j.estger.2013.05.007" TargetMode="External"/><Relationship Id="rId28" Type="http://schemas.openxmlformats.org/officeDocument/2006/relationships/hyperlink" Target="http://sedici.unlp.edu.ar/handle/10915/32526" TargetMode="External"/><Relationship Id="rId36" Type="http://schemas.openxmlformats.org/officeDocument/2006/relationships/hyperlink" Target="http://eprints.uanl.mx/id/eprint/8583" TargetMode="External"/><Relationship Id="rId49" Type="http://schemas.openxmlformats.org/officeDocument/2006/relationships/hyperlink" Target="https://doi.org/10.15332/s2027-3355.2016.0002.01" TargetMode="External"/><Relationship Id="rId57" Type="http://schemas.openxmlformats.org/officeDocument/2006/relationships/hyperlink" Target="https://doi.org/10.1057/s41264-017-0021-x" TargetMode="External"/><Relationship Id="rId10" Type="http://schemas.openxmlformats.org/officeDocument/2006/relationships/hyperlink" Target="mailto:ahuamano@unasam.edu.pe" TargetMode="External"/><Relationship Id="rId19" Type="http://schemas.openxmlformats.org/officeDocument/2006/relationships/image" Target="media/image6.png"/><Relationship Id="rId31" Type="http://schemas.openxmlformats.org/officeDocument/2006/relationships/hyperlink" Target="https://ssrn.com/abstract=2771629" TargetMode="External"/><Relationship Id="rId44" Type="http://schemas.openxmlformats.org/officeDocument/2006/relationships/hyperlink" Target="http://www.redalyc.org/articulo.oa?id=36712366004" TargetMode="External"/><Relationship Id="rId52" Type="http://schemas.openxmlformats.org/officeDocument/2006/relationships/hyperlink" Target="https://doi.org/10.17163/ret.n2.2011.06"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orcid.org/0000-0002-7442-2965" TargetMode="External"/><Relationship Id="rId14" Type="http://schemas.openxmlformats.org/officeDocument/2006/relationships/image" Target="media/image1.png"/><Relationship Id="rId22" Type="http://schemas.openxmlformats.org/officeDocument/2006/relationships/hyperlink" Target="https://doi.org/10.1108/ijqrm-04-2016-0049" TargetMode="External"/><Relationship Id="rId27" Type="http://schemas.openxmlformats.org/officeDocument/2006/relationships/hyperlink" Target="https://www.jstor.org/stable/249674" TargetMode="External"/><Relationship Id="rId30" Type="http://schemas.openxmlformats.org/officeDocument/2006/relationships/hyperlink" Target="https://doi.org/10.18359/rcin.439" TargetMode="External"/><Relationship Id="rId35" Type="http://schemas.openxmlformats.org/officeDocument/2006/relationships/hyperlink" Target="https://www.bcrp.gob.pe/docs/Publicaciones/Revista-Estudios-Economicos/32/ree-32-lahura.pdf" TargetMode="External"/><Relationship Id="rId43" Type="http://schemas.openxmlformats.org/officeDocument/2006/relationships/hyperlink" Target="https://doi.org/10.1080/02102412.2010.10779683" TargetMode="External"/><Relationship Id="rId48" Type="http://schemas.openxmlformats.org/officeDocument/2006/relationships/hyperlink" Target="https://doi.org/10.15381/quipu.v22i41.10084" TargetMode="External"/><Relationship Id="rId56" Type="http://schemas.openxmlformats.org/officeDocument/2006/relationships/hyperlink" Target="https://doi.org/10.1016/j.cya.2016.01.009" TargetMode="External"/><Relationship Id="rId8" Type="http://schemas.openxmlformats.org/officeDocument/2006/relationships/hyperlink" Target="mailto:cehenome@hotmail.com" TargetMode="External"/><Relationship Id="rId51" Type="http://schemas.openxmlformats.org/officeDocument/2006/relationships/hyperlink" Target="https://doi.org/10.24215/23143738e055"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AuyKqr1xdlfhVvnVKgb18pKYtg==">AMUW2mXkcmVIqcwrIIhtOez4t3lE9BSx/CuWIPTpaSnn4Ws6VuOui0zXQl9da4cicQ97aQ3yZVIJGI2SY8vj7ussOwO/mTp3w7Nbl+29C4IzxBOx4APdmJE4hPHAm4GKs7aN6AUX4QjS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17</Pages>
  <Words>6535</Words>
  <Characters>35945</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Revisor</cp:lastModifiedBy>
  <cp:revision>32</cp:revision>
  <dcterms:created xsi:type="dcterms:W3CDTF">2021-04-06T12:08:00Z</dcterms:created>
  <dcterms:modified xsi:type="dcterms:W3CDTF">2021-06-16T13:53:00Z</dcterms:modified>
</cp:coreProperties>
</file>