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8B8349" w14:textId="63E89503" w:rsidR="00CA37D4" w:rsidRPr="00ED7BBA" w:rsidRDefault="00CA37D4" w:rsidP="00CA37D4">
      <w:pPr>
        <w:shd w:val="clear" w:color="auto" w:fill="FFFFFF"/>
        <w:jc w:val="center"/>
        <w:rPr>
          <w:b/>
        </w:rPr>
      </w:pPr>
      <w:bookmarkStart w:id="0" w:name="_heading=h.gjdgxs" w:colFirst="0" w:colLast="0"/>
      <w:bookmarkEnd w:id="0"/>
      <w:r w:rsidRPr="00ED7BBA">
        <w:rPr>
          <w:b/>
          <w:color w:val="000000"/>
        </w:rPr>
        <w:t>El Cuadro de Mando Integral como Herramienta de Eficiencia en la Gestión Empresarial.</w:t>
      </w:r>
    </w:p>
    <w:p w14:paraId="640FA02B" w14:textId="5624FC1C" w:rsidR="00CA37D4" w:rsidRPr="00ED7BBA" w:rsidRDefault="00CA37D4" w:rsidP="00CA37D4">
      <w:pPr>
        <w:pBdr>
          <w:top w:val="nil"/>
          <w:left w:val="nil"/>
          <w:bottom w:val="nil"/>
          <w:right w:val="nil"/>
          <w:between w:val="nil"/>
        </w:pBdr>
        <w:shd w:val="clear" w:color="auto" w:fill="FFFFFF"/>
        <w:jc w:val="center"/>
        <w:rPr>
          <w:b/>
          <w:lang w:val="en-US"/>
        </w:rPr>
      </w:pPr>
      <w:r w:rsidRPr="00ED7BBA">
        <w:rPr>
          <w:b/>
          <w:lang w:val="en-US"/>
        </w:rPr>
        <w:t>The Balanced Scorecard as a tool for Efficiency in Business Management.</w:t>
      </w:r>
    </w:p>
    <w:p w14:paraId="6F5B33BA" w14:textId="77777777" w:rsidR="00CA37D4" w:rsidRPr="00CA37D4" w:rsidRDefault="00CA37D4" w:rsidP="00EF42B5">
      <w:pPr>
        <w:shd w:val="clear" w:color="auto" w:fill="FFFFFF"/>
        <w:spacing w:after="0" w:line="240" w:lineRule="auto"/>
        <w:ind w:left="720"/>
        <w:jc w:val="center"/>
        <w:rPr>
          <w:rFonts w:ascii="Garamond" w:eastAsia="Garamond" w:hAnsi="Garamond" w:cstheme="minorHAnsi"/>
          <w:b/>
          <w:lang w:val="en-US"/>
        </w:rPr>
      </w:pPr>
    </w:p>
    <w:p w14:paraId="34768F1B" w14:textId="0EA99A91" w:rsidR="00CA37D4" w:rsidRPr="00ED7BBA" w:rsidRDefault="00CA37D4" w:rsidP="00CA37D4">
      <w:pPr>
        <w:spacing w:after="0" w:line="240" w:lineRule="auto"/>
        <w:ind w:hanging="2"/>
        <w:jc w:val="both"/>
        <w:rPr>
          <w:rFonts w:eastAsia="Roboto" w:cstheme="minorHAnsi"/>
          <w:sz w:val="20"/>
          <w:szCs w:val="20"/>
          <w:highlight w:val="white"/>
        </w:rPr>
      </w:pPr>
      <w:r w:rsidRPr="00ED7BBA">
        <w:rPr>
          <w:rFonts w:eastAsia="Roboto" w:cstheme="minorHAnsi"/>
          <w:sz w:val="20"/>
          <w:szCs w:val="20"/>
          <w:highlight w:val="white"/>
        </w:rPr>
        <w:t>Artículo de divulgación.</w:t>
      </w:r>
    </w:p>
    <w:p w14:paraId="435CD9FF" w14:textId="77777777" w:rsidR="00CA37D4" w:rsidRPr="009B6E1A" w:rsidRDefault="00CA37D4" w:rsidP="00CA37D4">
      <w:pPr>
        <w:spacing w:after="0" w:line="240" w:lineRule="auto"/>
        <w:ind w:hanging="2"/>
        <w:jc w:val="both"/>
        <w:rPr>
          <w:rFonts w:eastAsia="Roboto" w:cstheme="minorHAnsi"/>
          <w:sz w:val="20"/>
          <w:szCs w:val="20"/>
          <w:highlight w:val="white"/>
        </w:rPr>
      </w:pPr>
    </w:p>
    <w:p w14:paraId="2BEE7C4C" w14:textId="1761FC36" w:rsidR="00B472AE" w:rsidRPr="00B472AE" w:rsidRDefault="00B472AE" w:rsidP="00B472AE">
      <w:pPr>
        <w:spacing w:after="0" w:line="360" w:lineRule="auto"/>
        <w:jc w:val="both"/>
        <w:rPr>
          <w:rFonts w:eastAsia="Roboto" w:cstheme="minorHAnsi"/>
          <w:sz w:val="20"/>
          <w:szCs w:val="20"/>
          <w:highlight w:val="white"/>
        </w:rPr>
      </w:pPr>
      <w:r>
        <w:rPr>
          <w:rFonts w:eastAsia="Roboto" w:cstheme="minorHAnsi"/>
          <w:sz w:val="20"/>
          <w:szCs w:val="20"/>
          <w:highlight w:val="white"/>
        </w:rPr>
        <w:t>Autor</w:t>
      </w:r>
      <w:r w:rsidR="00CA37D4">
        <w:rPr>
          <w:rFonts w:eastAsia="Roboto" w:cstheme="minorHAnsi"/>
          <w:sz w:val="20"/>
          <w:szCs w:val="20"/>
          <w:highlight w:val="white"/>
        </w:rPr>
        <w:t xml:space="preserve">. </w:t>
      </w:r>
      <w:r w:rsidR="00CA37D4" w:rsidRPr="0072546C">
        <w:rPr>
          <w:rFonts w:eastAsia="Roboto" w:cstheme="minorHAnsi"/>
          <w:sz w:val="20"/>
          <w:szCs w:val="20"/>
          <w:highlight w:val="white"/>
        </w:rPr>
        <w:t xml:space="preserve"> </w:t>
      </w:r>
      <w:r w:rsidRPr="00B472AE">
        <w:rPr>
          <w:rFonts w:eastAsia="Roboto" w:cstheme="minorHAnsi"/>
          <w:sz w:val="20"/>
          <w:szCs w:val="20"/>
          <w:highlight w:val="white"/>
        </w:rPr>
        <w:t>Ghiglione Franco Alexis</w:t>
      </w:r>
      <w:r w:rsidR="00CA37D4">
        <w:rPr>
          <w:rFonts w:eastAsia="Roboto" w:cstheme="minorHAnsi"/>
          <w:sz w:val="20"/>
          <w:szCs w:val="20"/>
          <w:highlight w:val="white"/>
        </w:rPr>
        <w:t>.</w:t>
      </w:r>
      <w:r w:rsidR="00CA37D4" w:rsidRPr="0072546C">
        <w:rPr>
          <w:rFonts w:eastAsia="Roboto" w:cstheme="minorHAnsi"/>
          <w:sz w:val="20"/>
          <w:szCs w:val="20"/>
          <w:highlight w:val="white"/>
        </w:rPr>
        <w:t xml:space="preserve"> </w:t>
      </w:r>
    </w:p>
    <w:p w14:paraId="002A74ED" w14:textId="3A46B7CE" w:rsidR="00B472AE" w:rsidRDefault="009641F9" w:rsidP="00B472AE">
      <w:pPr>
        <w:spacing w:after="0" w:line="360" w:lineRule="auto"/>
        <w:jc w:val="both"/>
        <w:rPr>
          <w:rFonts w:eastAsia="Roboto" w:cstheme="minorHAnsi"/>
          <w:sz w:val="20"/>
          <w:szCs w:val="20"/>
          <w:highlight w:val="white"/>
        </w:rPr>
      </w:pPr>
      <w:hyperlink r:id="rId6" w:history="1">
        <w:r w:rsidR="00B472AE" w:rsidRPr="00FC360F">
          <w:rPr>
            <w:rStyle w:val="Hipervnculo"/>
            <w:rFonts w:eastAsia="Roboto" w:cstheme="minorHAnsi"/>
            <w:sz w:val="20"/>
            <w:szCs w:val="20"/>
            <w:highlight w:val="white"/>
          </w:rPr>
          <w:t>https://orcid.org/0000-0001-9239-4753</w:t>
        </w:r>
      </w:hyperlink>
    </w:p>
    <w:p w14:paraId="4C7E7ABC" w14:textId="77D44AC9" w:rsidR="00B472AE" w:rsidRPr="00B472AE" w:rsidRDefault="00CA37D4" w:rsidP="00B472AE">
      <w:pPr>
        <w:spacing w:after="0" w:line="360" w:lineRule="auto"/>
        <w:jc w:val="both"/>
        <w:rPr>
          <w:rFonts w:eastAsia="Roboto" w:cstheme="minorHAnsi"/>
          <w:sz w:val="20"/>
          <w:szCs w:val="20"/>
          <w:highlight w:val="white"/>
        </w:rPr>
      </w:pPr>
      <w:r w:rsidRPr="009B6E1A">
        <w:rPr>
          <w:rFonts w:eastAsia="Roboto" w:cstheme="minorHAnsi"/>
          <w:sz w:val="20"/>
          <w:szCs w:val="20"/>
          <w:highlight w:val="white"/>
        </w:rPr>
        <w:t xml:space="preserve">Correo electrónico. </w:t>
      </w:r>
      <w:hyperlink r:id="rId7">
        <w:r w:rsidR="00B472AE" w:rsidRPr="00B472AE">
          <w:rPr>
            <w:rFonts w:eastAsia="Roboto" w:cstheme="minorHAnsi"/>
            <w:sz w:val="20"/>
            <w:szCs w:val="20"/>
            <w:highlight w:val="white"/>
          </w:rPr>
          <w:t>francoghiglione@conicet.gov.ar</w:t>
        </w:r>
      </w:hyperlink>
    </w:p>
    <w:p w14:paraId="458499B0" w14:textId="77777777" w:rsidR="00250927" w:rsidRDefault="00CA37D4" w:rsidP="00B472AE">
      <w:pPr>
        <w:spacing w:after="0" w:line="360" w:lineRule="auto"/>
        <w:jc w:val="both"/>
        <w:rPr>
          <w:rFonts w:eastAsia="Roboto" w:cstheme="minorHAnsi"/>
          <w:sz w:val="20"/>
          <w:szCs w:val="20"/>
          <w:highlight w:val="white"/>
        </w:rPr>
      </w:pPr>
      <w:r w:rsidRPr="009B6E1A">
        <w:rPr>
          <w:rFonts w:eastAsia="Roboto" w:cstheme="minorHAnsi"/>
          <w:sz w:val="20"/>
          <w:szCs w:val="20"/>
          <w:highlight w:val="white"/>
        </w:rPr>
        <w:t>Filiación Institucional.</w:t>
      </w:r>
      <w:r w:rsidR="00B472AE">
        <w:rPr>
          <w:rFonts w:eastAsia="Roboto" w:cstheme="minorHAnsi"/>
          <w:sz w:val="20"/>
          <w:szCs w:val="20"/>
          <w:highlight w:val="white"/>
        </w:rPr>
        <w:t xml:space="preserve"> </w:t>
      </w:r>
    </w:p>
    <w:p w14:paraId="6B36A25E" w14:textId="77777777" w:rsidR="00250927" w:rsidRDefault="00B472AE" w:rsidP="00B472AE">
      <w:pPr>
        <w:spacing w:after="0" w:line="360" w:lineRule="auto"/>
        <w:jc w:val="both"/>
        <w:rPr>
          <w:rFonts w:eastAsia="Roboto" w:cstheme="minorHAnsi"/>
          <w:sz w:val="20"/>
          <w:szCs w:val="20"/>
          <w:highlight w:val="white"/>
        </w:rPr>
      </w:pPr>
      <w:r>
        <w:rPr>
          <w:rFonts w:eastAsia="Roboto" w:cstheme="minorHAnsi"/>
          <w:sz w:val="20"/>
          <w:szCs w:val="20"/>
          <w:highlight w:val="white"/>
        </w:rPr>
        <w:t xml:space="preserve">1. </w:t>
      </w:r>
      <w:r w:rsidR="00CA37D4" w:rsidRPr="009B6E1A">
        <w:rPr>
          <w:rFonts w:eastAsia="Roboto" w:cstheme="minorHAnsi"/>
          <w:sz w:val="20"/>
          <w:szCs w:val="20"/>
          <w:highlight w:val="white"/>
        </w:rPr>
        <w:t xml:space="preserve"> </w:t>
      </w:r>
      <w:r w:rsidRPr="00B472AE">
        <w:rPr>
          <w:rFonts w:eastAsia="Roboto" w:cstheme="minorHAnsi"/>
          <w:sz w:val="20"/>
          <w:szCs w:val="20"/>
          <w:highlight w:val="white"/>
        </w:rPr>
        <w:t xml:space="preserve">Consejo Nacional de Investigaciones Científicas y Técnicas y </w:t>
      </w:r>
    </w:p>
    <w:p w14:paraId="70C6C632" w14:textId="29FFEF3A" w:rsidR="00B472AE" w:rsidRPr="00B472AE" w:rsidRDefault="00B472AE" w:rsidP="00B472AE">
      <w:pPr>
        <w:spacing w:after="0" w:line="360" w:lineRule="auto"/>
        <w:jc w:val="both"/>
        <w:rPr>
          <w:rFonts w:eastAsia="Roboto" w:cstheme="minorHAnsi"/>
          <w:sz w:val="20"/>
          <w:szCs w:val="20"/>
          <w:highlight w:val="white"/>
        </w:rPr>
      </w:pPr>
      <w:r w:rsidRPr="00B472AE">
        <w:rPr>
          <w:rFonts w:eastAsia="Roboto" w:cstheme="minorHAnsi"/>
          <w:sz w:val="20"/>
          <w:szCs w:val="20"/>
          <w:highlight w:val="white"/>
        </w:rPr>
        <w:t>2. Facultad de Agronomía. Universidad Nacional de La Pampa. Argentina.</w:t>
      </w:r>
    </w:p>
    <w:p w14:paraId="676F2300" w14:textId="5451ED73" w:rsidR="00CA37D4" w:rsidRDefault="00CA37D4" w:rsidP="00CA37D4">
      <w:pPr>
        <w:spacing w:after="0" w:line="240" w:lineRule="auto"/>
        <w:ind w:hanging="2"/>
        <w:jc w:val="both"/>
        <w:rPr>
          <w:rFonts w:eastAsia="Roboto" w:cstheme="minorHAnsi"/>
          <w:sz w:val="20"/>
          <w:szCs w:val="20"/>
          <w:highlight w:val="white"/>
        </w:rPr>
      </w:pPr>
    </w:p>
    <w:p w14:paraId="2D9E933D" w14:textId="2E797BC9" w:rsidR="00CA37D4" w:rsidRPr="009B6E1A" w:rsidRDefault="00CA37D4" w:rsidP="00B472AE">
      <w:pPr>
        <w:spacing w:after="0" w:line="360" w:lineRule="auto"/>
        <w:jc w:val="both"/>
        <w:rPr>
          <w:rFonts w:eastAsia="Roboto" w:cstheme="minorHAnsi"/>
          <w:sz w:val="20"/>
          <w:szCs w:val="20"/>
          <w:highlight w:val="white"/>
        </w:rPr>
      </w:pPr>
      <w:r w:rsidRPr="009B6E1A">
        <w:rPr>
          <w:rFonts w:eastAsia="Roboto" w:cstheme="minorHAnsi"/>
          <w:sz w:val="20"/>
          <w:szCs w:val="20"/>
          <w:highlight w:val="white"/>
        </w:rPr>
        <w:t>Revista Cienci</w:t>
      </w:r>
      <w:r w:rsidR="00B472AE">
        <w:rPr>
          <w:rFonts w:eastAsia="Roboto" w:cstheme="minorHAnsi"/>
          <w:sz w:val="20"/>
          <w:szCs w:val="20"/>
          <w:highlight w:val="white"/>
        </w:rPr>
        <w:t>as A</w:t>
      </w:r>
      <w:r w:rsidR="00ED7BBA">
        <w:rPr>
          <w:rFonts w:eastAsia="Roboto" w:cstheme="minorHAnsi"/>
          <w:sz w:val="20"/>
          <w:szCs w:val="20"/>
          <w:highlight w:val="white"/>
        </w:rPr>
        <w:t>dministrativas. Año 9. N° 18 Jul</w:t>
      </w:r>
      <w:r w:rsidR="00B472AE">
        <w:rPr>
          <w:rFonts w:eastAsia="Roboto" w:cstheme="minorHAnsi"/>
          <w:sz w:val="20"/>
          <w:szCs w:val="20"/>
          <w:highlight w:val="white"/>
        </w:rPr>
        <w:t>io Diciembre</w:t>
      </w:r>
      <w:r w:rsidRPr="009B6E1A">
        <w:rPr>
          <w:rFonts w:eastAsia="Roboto" w:cstheme="minorHAnsi"/>
          <w:sz w:val="20"/>
          <w:szCs w:val="20"/>
          <w:highlight w:val="white"/>
        </w:rPr>
        <w:t xml:space="preserve"> 2021.</w:t>
      </w:r>
    </w:p>
    <w:p w14:paraId="50D76B64" w14:textId="77777777" w:rsidR="00B472AE" w:rsidRPr="00B472AE" w:rsidRDefault="00B472AE" w:rsidP="00B472AE">
      <w:pPr>
        <w:spacing w:after="0" w:line="360" w:lineRule="auto"/>
        <w:jc w:val="both"/>
        <w:rPr>
          <w:rFonts w:eastAsia="Roboto" w:cstheme="minorHAnsi"/>
          <w:sz w:val="20"/>
          <w:szCs w:val="20"/>
          <w:highlight w:val="white"/>
        </w:rPr>
      </w:pPr>
      <w:r w:rsidRPr="00B472AE">
        <w:rPr>
          <w:rFonts w:eastAsia="Roboto" w:cstheme="minorHAnsi"/>
          <w:sz w:val="20"/>
          <w:szCs w:val="20"/>
          <w:highlight w:val="white"/>
        </w:rPr>
        <w:t>https://doi.org/10.24215/23143738e088</w:t>
      </w:r>
    </w:p>
    <w:p w14:paraId="733FAB6C" w14:textId="5CEFBD80" w:rsidR="00B472AE" w:rsidRPr="009641F9" w:rsidRDefault="00B472AE" w:rsidP="00B472AE">
      <w:pPr>
        <w:spacing w:after="0" w:line="360" w:lineRule="auto"/>
        <w:jc w:val="both"/>
        <w:rPr>
          <w:rFonts w:eastAsia="Roboto" w:cstheme="minorHAnsi"/>
          <w:sz w:val="20"/>
          <w:szCs w:val="20"/>
          <w:highlight w:val="white"/>
          <w:lang w:val="en-US"/>
        </w:rPr>
      </w:pPr>
      <w:r w:rsidRPr="009641F9">
        <w:rPr>
          <w:rFonts w:eastAsia="Roboto" w:cstheme="minorHAnsi"/>
          <w:sz w:val="20"/>
          <w:szCs w:val="20"/>
          <w:highlight w:val="white"/>
          <w:lang w:val="en-US"/>
        </w:rPr>
        <w:t>ISSN 2314 – 3738</w:t>
      </w:r>
      <w:r w:rsidR="00ED7BBA" w:rsidRPr="009641F9">
        <w:rPr>
          <w:rFonts w:eastAsia="Roboto" w:cstheme="minorHAnsi"/>
          <w:sz w:val="20"/>
          <w:szCs w:val="20"/>
          <w:highlight w:val="white"/>
          <w:lang w:val="en-US"/>
        </w:rPr>
        <w:t>.</w:t>
      </w:r>
    </w:p>
    <w:p w14:paraId="6CA0551A" w14:textId="77777777" w:rsidR="00B472AE" w:rsidRPr="009641F9" w:rsidRDefault="009641F9" w:rsidP="00B472AE">
      <w:pPr>
        <w:spacing w:after="0" w:line="360" w:lineRule="auto"/>
        <w:jc w:val="both"/>
        <w:rPr>
          <w:rFonts w:eastAsia="Roboto" w:cstheme="minorHAnsi"/>
          <w:sz w:val="20"/>
          <w:szCs w:val="20"/>
          <w:highlight w:val="white"/>
          <w:lang w:val="en-US"/>
        </w:rPr>
      </w:pPr>
      <w:hyperlink r:id="rId8">
        <w:r w:rsidR="00B472AE" w:rsidRPr="009641F9">
          <w:rPr>
            <w:rFonts w:eastAsia="Roboto" w:cstheme="minorHAnsi"/>
            <w:sz w:val="20"/>
            <w:szCs w:val="20"/>
            <w:highlight w:val="white"/>
            <w:lang w:val="en-US"/>
          </w:rPr>
          <w:t>http://revistas.unlp.edu.ar/CADM</w:t>
        </w:r>
      </w:hyperlink>
    </w:p>
    <w:p w14:paraId="2D89FB09" w14:textId="77777777" w:rsidR="00CA37D4" w:rsidRPr="00CA37D4" w:rsidRDefault="00CA37D4" w:rsidP="00CA37D4">
      <w:pPr>
        <w:spacing w:after="0" w:line="240" w:lineRule="auto"/>
        <w:ind w:hanging="2"/>
        <w:jc w:val="both"/>
        <w:rPr>
          <w:rFonts w:eastAsia="Roboto" w:cstheme="minorHAnsi"/>
          <w:sz w:val="20"/>
          <w:szCs w:val="20"/>
          <w:highlight w:val="white"/>
          <w:lang w:val="en-US"/>
        </w:rPr>
      </w:pPr>
    </w:p>
    <w:p w14:paraId="21704D21" w14:textId="094E90A0" w:rsidR="00CA37D4" w:rsidRPr="009B6E1A" w:rsidRDefault="00CA37D4" w:rsidP="00B472AE">
      <w:pPr>
        <w:spacing w:after="0" w:line="360" w:lineRule="auto"/>
        <w:jc w:val="both"/>
        <w:rPr>
          <w:rFonts w:eastAsia="Roboto" w:cstheme="minorHAnsi"/>
          <w:sz w:val="20"/>
          <w:szCs w:val="20"/>
          <w:highlight w:val="white"/>
        </w:rPr>
      </w:pPr>
      <w:r w:rsidRPr="009B6E1A">
        <w:rPr>
          <w:rFonts w:eastAsia="Roboto" w:cstheme="minorHAnsi"/>
          <w:sz w:val="20"/>
          <w:szCs w:val="20"/>
          <w:highlight w:val="white"/>
        </w:rPr>
        <w:t xml:space="preserve">Clasificación JEL. </w:t>
      </w:r>
      <w:r w:rsidR="00B472AE">
        <w:rPr>
          <w:rFonts w:eastAsia="Roboto" w:cstheme="minorHAnsi"/>
          <w:sz w:val="20"/>
          <w:szCs w:val="20"/>
          <w:highlight w:val="white"/>
        </w:rPr>
        <w:t>M10</w:t>
      </w:r>
      <w:r w:rsidRPr="009B6E1A">
        <w:rPr>
          <w:rFonts w:eastAsia="Roboto" w:cstheme="minorHAnsi"/>
          <w:sz w:val="20"/>
          <w:szCs w:val="20"/>
          <w:highlight w:val="white"/>
        </w:rPr>
        <w:t xml:space="preserve">. </w:t>
      </w:r>
    </w:p>
    <w:p w14:paraId="6C4BC20D" w14:textId="1479F412" w:rsidR="00CA37D4" w:rsidRPr="009B6E1A" w:rsidRDefault="00CA37D4" w:rsidP="00B472AE">
      <w:pPr>
        <w:spacing w:after="0" w:line="360" w:lineRule="auto"/>
        <w:jc w:val="both"/>
        <w:rPr>
          <w:rFonts w:eastAsia="Roboto" w:cstheme="minorHAnsi"/>
          <w:sz w:val="20"/>
          <w:szCs w:val="20"/>
          <w:highlight w:val="white"/>
        </w:rPr>
      </w:pPr>
      <w:r w:rsidRPr="009B6E1A">
        <w:rPr>
          <w:rFonts w:eastAsia="Roboto" w:cstheme="minorHAnsi"/>
          <w:sz w:val="20"/>
          <w:szCs w:val="20"/>
          <w:highlight w:val="white"/>
        </w:rPr>
        <w:t xml:space="preserve">Fecha de Recibido. </w:t>
      </w:r>
      <w:r w:rsidR="00B472AE">
        <w:rPr>
          <w:rFonts w:eastAsia="Roboto" w:cstheme="minorHAnsi"/>
          <w:sz w:val="20"/>
          <w:szCs w:val="20"/>
          <w:highlight w:val="white"/>
        </w:rPr>
        <w:t>21 de Julio</w:t>
      </w:r>
      <w:r w:rsidRPr="009B6E1A">
        <w:rPr>
          <w:rFonts w:eastAsia="Roboto" w:cstheme="minorHAnsi"/>
          <w:sz w:val="20"/>
          <w:szCs w:val="20"/>
          <w:highlight w:val="white"/>
        </w:rPr>
        <w:t xml:space="preserve"> de 2020.</w:t>
      </w:r>
    </w:p>
    <w:p w14:paraId="31606F79" w14:textId="1829FD62" w:rsidR="00CA37D4" w:rsidRPr="009B6E1A" w:rsidRDefault="00CA37D4" w:rsidP="00B472AE">
      <w:pPr>
        <w:spacing w:after="0" w:line="360" w:lineRule="auto"/>
        <w:jc w:val="both"/>
        <w:rPr>
          <w:rFonts w:eastAsia="Roboto" w:cstheme="minorHAnsi"/>
          <w:sz w:val="20"/>
          <w:szCs w:val="20"/>
          <w:highlight w:val="white"/>
        </w:rPr>
      </w:pPr>
      <w:r w:rsidRPr="009B6E1A">
        <w:rPr>
          <w:rFonts w:eastAsia="Roboto" w:cstheme="minorHAnsi"/>
          <w:sz w:val="20"/>
          <w:szCs w:val="20"/>
          <w:highlight w:val="white"/>
        </w:rPr>
        <w:t xml:space="preserve">Fecha de Aprobado. </w:t>
      </w:r>
      <w:r w:rsidR="00B472AE">
        <w:rPr>
          <w:rFonts w:eastAsia="Roboto" w:cstheme="minorHAnsi"/>
          <w:sz w:val="20"/>
          <w:szCs w:val="20"/>
          <w:highlight w:val="white"/>
        </w:rPr>
        <w:t>20 de Septiembre</w:t>
      </w:r>
      <w:r w:rsidRPr="009B6E1A">
        <w:rPr>
          <w:rFonts w:eastAsia="Roboto" w:cstheme="minorHAnsi"/>
          <w:sz w:val="20"/>
          <w:szCs w:val="20"/>
          <w:highlight w:val="white"/>
        </w:rPr>
        <w:t xml:space="preserve"> de 2020.</w:t>
      </w:r>
    </w:p>
    <w:p w14:paraId="3FB6778F" w14:textId="77777777" w:rsidR="00EF42B5" w:rsidRPr="00B472AE" w:rsidRDefault="00EF42B5" w:rsidP="00EF42B5">
      <w:pPr>
        <w:shd w:val="clear" w:color="auto" w:fill="FFFFFF"/>
        <w:spacing w:after="0" w:line="240" w:lineRule="auto"/>
        <w:ind w:left="720"/>
        <w:jc w:val="center"/>
        <w:rPr>
          <w:rFonts w:ascii="Garamond" w:eastAsia="Garamond" w:hAnsi="Garamond" w:cstheme="minorHAnsi"/>
          <w:b/>
        </w:rPr>
      </w:pPr>
    </w:p>
    <w:p w14:paraId="22BB6EF6" w14:textId="77777777" w:rsidR="008D0280" w:rsidRPr="00B472AE" w:rsidRDefault="008D0280" w:rsidP="00EF42B5">
      <w:pPr>
        <w:shd w:val="clear" w:color="auto" w:fill="FFFFFF"/>
        <w:spacing w:after="0" w:line="240" w:lineRule="auto"/>
        <w:rPr>
          <w:rFonts w:ascii="Garamond" w:eastAsia="Garamond" w:hAnsi="Garamond" w:cstheme="minorHAnsi"/>
          <w:b/>
          <w:sz w:val="20"/>
          <w:szCs w:val="20"/>
        </w:rPr>
      </w:pPr>
    </w:p>
    <w:p w14:paraId="0FA5D5DE" w14:textId="7445CA5D" w:rsidR="008D0280" w:rsidRPr="00ED7BBA" w:rsidRDefault="004A23E3" w:rsidP="00EF42B5">
      <w:pPr>
        <w:shd w:val="clear" w:color="auto" w:fill="FFFFFF"/>
        <w:spacing w:after="0" w:line="240" w:lineRule="auto"/>
        <w:jc w:val="both"/>
        <w:rPr>
          <w:rFonts w:asciiTheme="minorHAnsi" w:hAnsiTheme="minorHAnsi" w:cstheme="minorHAnsi"/>
          <w:b/>
          <w:iCs/>
          <w:sz w:val="20"/>
          <w:szCs w:val="20"/>
        </w:rPr>
      </w:pPr>
      <w:r w:rsidRPr="00ED7BBA">
        <w:rPr>
          <w:rFonts w:asciiTheme="minorHAnsi" w:hAnsiTheme="minorHAnsi" w:cstheme="minorHAnsi"/>
          <w:b/>
          <w:iCs/>
          <w:sz w:val="20"/>
          <w:szCs w:val="20"/>
        </w:rPr>
        <w:t>Resumen</w:t>
      </w:r>
      <w:r w:rsidR="00ED7BBA" w:rsidRPr="00ED7BBA">
        <w:rPr>
          <w:rFonts w:asciiTheme="minorHAnsi" w:hAnsiTheme="minorHAnsi" w:cstheme="minorHAnsi"/>
          <w:b/>
          <w:iCs/>
          <w:sz w:val="20"/>
          <w:szCs w:val="20"/>
        </w:rPr>
        <w:t>.</w:t>
      </w:r>
    </w:p>
    <w:p w14:paraId="680A5D78" w14:textId="77777777" w:rsidR="008D0280" w:rsidRPr="00EF42B5" w:rsidRDefault="008D0280" w:rsidP="00EF42B5">
      <w:pPr>
        <w:shd w:val="clear" w:color="auto" w:fill="FFFFFF"/>
        <w:spacing w:after="0" w:line="240" w:lineRule="auto"/>
        <w:jc w:val="both"/>
        <w:rPr>
          <w:rFonts w:asciiTheme="minorHAnsi" w:hAnsiTheme="minorHAnsi" w:cstheme="minorHAnsi"/>
          <w:sz w:val="20"/>
          <w:szCs w:val="20"/>
        </w:rPr>
      </w:pPr>
    </w:p>
    <w:p w14:paraId="70B0AACB" w14:textId="77777777" w:rsidR="008D0280" w:rsidRPr="00EF42B5" w:rsidRDefault="004A23E3" w:rsidP="00EF42B5">
      <w:pPr>
        <w:shd w:val="clear" w:color="auto" w:fill="FFFFFF"/>
        <w:spacing w:after="0" w:line="240" w:lineRule="auto"/>
        <w:jc w:val="both"/>
        <w:rPr>
          <w:rFonts w:asciiTheme="minorHAnsi" w:hAnsiTheme="minorHAnsi" w:cstheme="minorHAnsi"/>
          <w:sz w:val="20"/>
          <w:szCs w:val="20"/>
        </w:rPr>
      </w:pPr>
      <w:r w:rsidRPr="00EF42B5">
        <w:rPr>
          <w:rFonts w:asciiTheme="minorHAnsi" w:hAnsiTheme="minorHAnsi" w:cstheme="minorHAnsi"/>
          <w:sz w:val="20"/>
          <w:szCs w:val="20"/>
        </w:rPr>
        <w:t>Gestionar implica administrar y asignar recursos escasos eficientemente. En gran parte, el éxito o fracaso de cualquier empresa, organización o institución, de carácter público o privado, está sujeto al diseño, alcance y grado de implantación de sus estrategias competitivas. En un contexto económico, social, tecnológico y medioambiental en constante evolución, la premisa empresarial pareciera estar centrada en desarrollar capacidades para adaptarse y anticiparse al cambio. En la literatura académica identificamos un claro consenso respecto de esta problemática:</w:t>
      </w:r>
      <w:r w:rsidRPr="00EF42B5">
        <w:rPr>
          <w:rFonts w:asciiTheme="minorHAnsi" w:hAnsiTheme="minorHAnsi" w:cstheme="minorHAnsi"/>
          <w:b/>
          <w:sz w:val="20"/>
          <w:szCs w:val="20"/>
        </w:rPr>
        <w:t xml:space="preserve"> </w:t>
      </w:r>
      <w:r w:rsidRPr="00EF42B5">
        <w:rPr>
          <w:rFonts w:asciiTheme="minorHAnsi" w:hAnsiTheme="minorHAnsi" w:cstheme="minorHAnsi"/>
          <w:sz w:val="20"/>
          <w:szCs w:val="20"/>
        </w:rPr>
        <w:t xml:space="preserve">las estrategias corporativas suelen ser innovadoras, pero su déficit radica en la implementación y la evaluación </w:t>
      </w:r>
      <w:proofErr w:type="gramStart"/>
      <w:r w:rsidRPr="00EF42B5">
        <w:rPr>
          <w:rFonts w:asciiTheme="minorHAnsi" w:hAnsiTheme="minorHAnsi" w:cstheme="minorHAnsi"/>
          <w:sz w:val="20"/>
          <w:szCs w:val="20"/>
        </w:rPr>
        <w:t>continua</w:t>
      </w:r>
      <w:proofErr w:type="gramEnd"/>
      <w:r w:rsidRPr="00EF42B5">
        <w:rPr>
          <w:rFonts w:asciiTheme="minorHAnsi" w:hAnsiTheme="minorHAnsi" w:cstheme="minorHAnsi"/>
          <w:sz w:val="20"/>
          <w:szCs w:val="20"/>
        </w:rPr>
        <w:t xml:space="preserve"> de los resultados; allí cobra relevancia la correcta definición de sus objetivos e indicadores. Ante ello, el presente trabajo indaga sobre las características particulares vinculadas a las deficiencias en la ejecución de las estrategias y plantea una revisión bibliográfica de la herramienta de gestión </w:t>
      </w:r>
      <w:r w:rsidRPr="00EF42B5">
        <w:rPr>
          <w:rFonts w:asciiTheme="minorHAnsi" w:hAnsiTheme="minorHAnsi" w:cstheme="minorHAnsi"/>
          <w:i/>
          <w:sz w:val="20"/>
          <w:szCs w:val="20"/>
        </w:rPr>
        <w:t>Cuadro de Mando Integral</w:t>
      </w:r>
      <w:r w:rsidRPr="00EF42B5">
        <w:rPr>
          <w:rFonts w:asciiTheme="minorHAnsi" w:hAnsiTheme="minorHAnsi" w:cstheme="minorHAnsi"/>
          <w:sz w:val="20"/>
          <w:szCs w:val="20"/>
        </w:rPr>
        <w:t xml:space="preserve"> como solución alternativa al problema planteado.  </w:t>
      </w:r>
    </w:p>
    <w:p w14:paraId="449524A8" w14:textId="77777777" w:rsidR="008D0280" w:rsidRPr="00EF42B5" w:rsidRDefault="008D0280" w:rsidP="00EF42B5">
      <w:pPr>
        <w:shd w:val="clear" w:color="auto" w:fill="FFFFFF"/>
        <w:spacing w:after="0" w:line="240" w:lineRule="auto"/>
        <w:jc w:val="both"/>
        <w:rPr>
          <w:rFonts w:asciiTheme="minorHAnsi" w:hAnsiTheme="minorHAnsi" w:cstheme="minorHAnsi"/>
          <w:sz w:val="20"/>
          <w:szCs w:val="20"/>
        </w:rPr>
      </w:pPr>
    </w:p>
    <w:p w14:paraId="28AC2510" w14:textId="283074DD" w:rsidR="008D0280" w:rsidRPr="00EF42B5" w:rsidRDefault="00ED7BBA" w:rsidP="00EF42B5">
      <w:pPr>
        <w:shd w:val="clear" w:color="auto" w:fill="FFFFFF"/>
        <w:spacing w:after="0" w:line="240" w:lineRule="auto"/>
        <w:jc w:val="both"/>
        <w:rPr>
          <w:rFonts w:asciiTheme="minorHAnsi" w:hAnsiTheme="minorHAnsi" w:cstheme="minorHAnsi"/>
          <w:b/>
          <w:sz w:val="20"/>
          <w:szCs w:val="20"/>
        </w:rPr>
      </w:pPr>
      <w:r>
        <w:rPr>
          <w:rFonts w:asciiTheme="minorHAnsi" w:hAnsiTheme="minorHAnsi" w:cstheme="minorHAnsi"/>
          <w:sz w:val="20"/>
          <w:szCs w:val="20"/>
        </w:rPr>
        <w:t>Palabras clave.</w:t>
      </w:r>
      <w:r w:rsidR="004A23E3" w:rsidRPr="00EF42B5">
        <w:rPr>
          <w:rFonts w:asciiTheme="minorHAnsi" w:hAnsiTheme="minorHAnsi" w:cstheme="minorHAnsi"/>
          <w:b/>
          <w:sz w:val="20"/>
          <w:szCs w:val="20"/>
        </w:rPr>
        <w:t xml:space="preserve"> </w:t>
      </w:r>
      <w:r w:rsidRPr="00EF42B5">
        <w:rPr>
          <w:rFonts w:asciiTheme="minorHAnsi" w:hAnsiTheme="minorHAnsi" w:cstheme="minorHAnsi"/>
          <w:sz w:val="20"/>
          <w:szCs w:val="20"/>
        </w:rPr>
        <w:t>Evaluación</w:t>
      </w:r>
      <w:r w:rsidR="004A23E3" w:rsidRPr="00EF42B5">
        <w:rPr>
          <w:rFonts w:asciiTheme="minorHAnsi" w:hAnsiTheme="minorHAnsi" w:cstheme="minorHAnsi"/>
          <w:sz w:val="20"/>
          <w:szCs w:val="20"/>
        </w:rPr>
        <w:t xml:space="preserve"> continua</w:t>
      </w:r>
      <w:r>
        <w:rPr>
          <w:rFonts w:asciiTheme="minorHAnsi" w:hAnsiTheme="minorHAnsi" w:cstheme="minorHAnsi"/>
          <w:sz w:val="20"/>
          <w:szCs w:val="20"/>
        </w:rPr>
        <w:t>,</w:t>
      </w:r>
      <w:r w:rsidR="004A23E3" w:rsidRPr="00EF42B5">
        <w:rPr>
          <w:rFonts w:asciiTheme="minorHAnsi" w:hAnsiTheme="minorHAnsi" w:cstheme="minorHAnsi"/>
          <w:sz w:val="20"/>
          <w:szCs w:val="20"/>
        </w:rPr>
        <w:t xml:space="preserve"> objetivos mensurables</w:t>
      </w:r>
      <w:r>
        <w:rPr>
          <w:rFonts w:asciiTheme="minorHAnsi" w:hAnsiTheme="minorHAnsi" w:cstheme="minorHAnsi"/>
          <w:sz w:val="20"/>
          <w:szCs w:val="20"/>
        </w:rPr>
        <w:t>,</w:t>
      </w:r>
      <w:r w:rsidR="004A23E3" w:rsidRPr="00EF42B5">
        <w:rPr>
          <w:rFonts w:asciiTheme="minorHAnsi" w:hAnsiTheme="minorHAnsi" w:cstheme="minorHAnsi"/>
          <w:b/>
          <w:sz w:val="20"/>
          <w:szCs w:val="20"/>
        </w:rPr>
        <w:t xml:space="preserve"> </w:t>
      </w:r>
      <w:r w:rsidR="004A23E3" w:rsidRPr="00EF42B5">
        <w:rPr>
          <w:rFonts w:asciiTheme="minorHAnsi" w:hAnsiTheme="minorHAnsi" w:cstheme="minorHAnsi"/>
          <w:sz w:val="20"/>
          <w:szCs w:val="20"/>
        </w:rPr>
        <w:t>planificación</w:t>
      </w:r>
      <w:r>
        <w:rPr>
          <w:rFonts w:asciiTheme="minorHAnsi" w:hAnsiTheme="minorHAnsi" w:cstheme="minorHAnsi"/>
          <w:sz w:val="20"/>
          <w:szCs w:val="20"/>
        </w:rPr>
        <w:t>,</w:t>
      </w:r>
      <w:r w:rsidR="004A23E3" w:rsidRPr="00EF42B5">
        <w:rPr>
          <w:rFonts w:asciiTheme="minorHAnsi" w:hAnsiTheme="minorHAnsi" w:cstheme="minorHAnsi"/>
          <w:sz w:val="20"/>
          <w:szCs w:val="20"/>
        </w:rPr>
        <w:t xml:space="preserve"> visión estratégica. </w:t>
      </w:r>
      <w:r w:rsidR="004A23E3" w:rsidRPr="00EF42B5">
        <w:rPr>
          <w:rFonts w:asciiTheme="minorHAnsi" w:hAnsiTheme="minorHAnsi" w:cstheme="minorHAnsi"/>
          <w:b/>
          <w:sz w:val="20"/>
          <w:szCs w:val="20"/>
        </w:rPr>
        <w:t xml:space="preserve">  </w:t>
      </w:r>
    </w:p>
    <w:p w14:paraId="6F169D18" w14:textId="1A6300B8" w:rsidR="008D0280" w:rsidRDefault="008D0280" w:rsidP="00EF42B5">
      <w:pPr>
        <w:shd w:val="clear" w:color="auto" w:fill="FFFFFF"/>
        <w:spacing w:after="0" w:line="240" w:lineRule="auto"/>
        <w:jc w:val="both"/>
        <w:rPr>
          <w:rFonts w:asciiTheme="minorHAnsi" w:hAnsiTheme="minorHAnsi" w:cstheme="minorHAnsi"/>
          <w:b/>
          <w:sz w:val="20"/>
          <w:szCs w:val="20"/>
        </w:rPr>
      </w:pPr>
    </w:p>
    <w:p w14:paraId="631F5381" w14:textId="77777777" w:rsidR="00EF42B5" w:rsidRPr="00EF42B5" w:rsidRDefault="00EF42B5" w:rsidP="00EF42B5">
      <w:pPr>
        <w:shd w:val="clear" w:color="auto" w:fill="FFFFFF"/>
        <w:spacing w:after="0" w:line="240" w:lineRule="auto"/>
        <w:jc w:val="both"/>
        <w:rPr>
          <w:rFonts w:asciiTheme="minorHAnsi" w:hAnsiTheme="minorHAnsi" w:cstheme="minorHAnsi"/>
          <w:b/>
          <w:sz w:val="20"/>
          <w:szCs w:val="20"/>
        </w:rPr>
      </w:pPr>
    </w:p>
    <w:p w14:paraId="21E41A04" w14:textId="34713D15" w:rsidR="00EF42B5" w:rsidRPr="00ED7BBA" w:rsidRDefault="004A23E3" w:rsidP="00EF42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hAnsiTheme="minorHAnsi" w:cstheme="minorHAnsi"/>
          <w:iCs/>
          <w:sz w:val="20"/>
          <w:szCs w:val="20"/>
          <w:lang w:val="en-US"/>
        </w:rPr>
      </w:pPr>
      <w:r w:rsidRPr="00ED7BBA">
        <w:rPr>
          <w:rFonts w:asciiTheme="minorHAnsi" w:hAnsiTheme="minorHAnsi" w:cstheme="minorHAnsi"/>
          <w:b/>
          <w:iCs/>
          <w:sz w:val="20"/>
          <w:szCs w:val="20"/>
          <w:lang w:val="en-US"/>
        </w:rPr>
        <w:t>Abstract</w:t>
      </w:r>
      <w:r w:rsidR="00ED7BBA" w:rsidRPr="00ED7BBA">
        <w:rPr>
          <w:rFonts w:asciiTheme="minorHAnsi" w:hAnsiTheme="minorHAnsi" w:cstheme="minorHAnsi"/>
          <w:b/>
          <w:iCs/>
          <w:sz w:val="20"/>
          <w:szCs w:val="20"/>
          <w:lang w:val="en-US"/>
        </w:rPr>
        <w:t>.</w:t>
      </w:r>
    </w:p>
    <w:p w14:paraId="53FBC696" w14:textId="77777777" w:rsidR="00EF42B5" w:rsidRDefault="00EF42B5" w:rsidP="00EF42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hAnsiTheme="minorHAnsi" w:cstheme="minorHAnsi"/>
          <w:sz w:val="20"/>
          <w:szCs w:val="20"/>
          <w:lang w:val="en-US"/>
        </w:rPr>
      </w:pPr>
    </w:p>
    <w:p w14:paraId="51958A18" w14:textId="46C6CEE3" w:rsidR="008D0280" w:rsidRPr="00EF42B5" w:rsidRDefault="004A23E3" w:rsidP="00EF42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hAnsiTheme="minorHAnsi" w:cstheme="minorHAnsi"/>
          <w:sz w:val="20"/>
          <w:szCs w:val="20"/>
          <w:lang w:val="en-US"/>
        </w:rPr>
      </w:pPr>
      <w:r w:rsidRPr="00EF42B5">
        <w:rPr>
          <w:rFonts w:asciiTheme="minorHAnsi" w:hAnsiTheme="minorHAnsi" w:cstheme="minorHAnsi"/>
          <w:sz w:val="20"/>
          <w:szCs w:val="20"/>
          <w:lang w:val="en-US"/>
        </w:rPr>
        <w:t xml:space="preserve">Managing implies administrating and allocating scarce resources efficiently. In part, the success or failure of any company, </w:t>
      </w:r>
      <w:proofErr w:type="spellStart"/>
      <w:r w:rsidRPr="00EF42B5">
        <w:rPr>
          <w:rFonts w:asciiTheme="minorHAnsi" w:hAnsiTheme="minorHAnsi" w:cstheme="minorHAnsi"/>
          <w:sz w:val="20"/>
          <w:szCs w:val="20"/>
          <w:lang w:val="en-US"/>
        </w:rPr>
        <w:t>organisation</w:t>
      </w:r>
      <w:proofErr w:type="spellEnd"/>
      <w:r w:rsidRPr="00EF42B5">
        <w:rPr>
          <w:rFonts w:asciiTheme="minorHAnsi" w:hAnsiTheme="minorHAnsi" w:cstheme="minorHAnsi"/>
          <w:sz w:val="20"/>
          <w:szCs w:val="20"/>
          <w:lang w:val="en-US"/>
        </w:rPr>
        <w:t xml:space="preserve"> or institution, public or private, is subject to the design, scope and degree of implementation of its competitive strategies. In a constantly evolving economic, social, technological and environmental context, the business premise seems to be focused on developing capacities to adapt and anticipate change. In the academic literature, we identify a clear consensus regarding this problem: corporate strategies tend to be innovative, but their deficit lies in the implementation and continuous evaluation of their results; this is where the correct definition of their objectives and indicators becomes relevant. Given this situation, this essay investigates the particular </w:t>
      </w:r>
      <w:r w:rsidRPr="00EF42B5">
        <w:rPr>
          <w:rFonts w:asciiTheme="minorHAnsi" w:hAnsiTheme="minorHAnsi" w:cstheme="minorHAnsi"/>
          <w:sz w:val="20"/>
          <w:szCs w:val="20"/>
          <w:lang w:val="en-US"/>
        </w:rPr>
        <w:lastRenderedPageBreak/>
        <w:t>characteristics linked to the deficiencies in the execution of the strategies and proposes a bibliographic review of the management tool “Balanced Scorecard” as an alternative solution to the problem posed.</w:t>
      </w:r>
    </w:p>
    <w:p w14:paraId="70DF959B" w14:textId="77777777" w:rsidR="008D0280" w:rsidRPr="00EF42B5" w:rsidRDefault="008D0280" w:rsidP="00EF42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hAnsiTheme="minorHAnsi" w:cstheme="minorHAnsi"/>
          <w:sz w:val="20"/>
          <w:szCs w:val="20"/>
          <w:lang w:val="en-US"/>
        </w:rPr>
      </w:pPr>
    </w:p>
    <w:p w14:paraId="4C7B41CF" w14:textId="631CE01A" w:rsidR="008D0280" w:rsidRPr="00EF42B5" w:rsidRDefault="00ED7BBA" w:rsidP="00EF42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hAnsiTheme="minorHAnsi" w:cstheme="minorHAnsi"/>
          <w:sz w:val="20"/>
          <w:szCs w:val="20"/>
          <w:lang w:val="en-US"/>
        </w:rPr>
      </w:pPr>
      <w:r>
        <w:rPr>
          <w:rFonts w:asciiTheme="minorHAnsi" w:hAnsiTheme="minorHAnsi" w:cstheme="minorHAnsi"/>
          <w:sz w:val="20"/>
          <w:szCs w:val="20"/>
          <w:lang w:val="en-US"/>
        </w:rPr>
        <w:t>Key words.</w:t>
      </w:r>
      <w:r w:rsidR="004A23E3" w:rsidRPr="00EF42B5">
        <w:rPr>
          <w:rFonts w:asciiTheme="minorHAnsi" w:hAnsiTheme="minorHAnsi" w:cstheme="minorHAnsi"/>
          <w:sz w:val="20"/>
          <w:szCs w:val="20"/>
          <w:lang w:val="en-US"/>
        </w:rPr>
        <w:t xml:space="preserve"> </w:t>
      </w:r>
      <w:r w:rsidRPr="00EF42B5">
        <w:rPr>
          <w:rFonts w:asciiTheme="minorHAnsi" w:hAnsiTheme="minorHAnsi" w:cstheme="minorHAnsi"/>
          <w:sz w:val="20"/>
          <w:szCs w:val="20"/>
          <w:lang w:val="en-US"/>
        </w:rPr>
        <w:t>Continuous</w:t>
      </w:r>
      <w:r w:rsidR="00EF42B5" w:rsidRPr="00EF42B5">
        <w:rPr>
          <w:rFonts w:asciiTheme="minorHAnsi" w:hAnsiTheme="minorHAnsi" w:cstheme="minorHAnsi"/>
          <w:sz w:val="20"/>
          <w:szCs w:val="20"/>
          <w:lang w:val="en-US"/>
        </w:rPr>
        <w:t xml:space="preserve"> assessment</w:t>
      </w:r>
      <w:r>
        <w:rPr>
          <w:rFonts w:asciiTheme="minorHAnsi" w:hAnsiTheme="minorHAnsi" w:cstheme="minorHAnsi"/>
          <w:sz w:val="20"/>
          <w:szCs w:val="20"/>
          <w:lang w:val="en-US"/>
        </w:rPr>
        <w:t>, measurable objectives, planning,</w:t>
      </w:r>
      <w:r w:rsidR="00EF42B5" w:rsidRPr="00EF42B5">
        <w:rPr>
          <w:rFonts w:asciiTheme="minorHAnsi" w:hAnsiTheme="minorHAnsi" w:cstheme="minorHAnsi"/>
          <w:sz w:val="20"/>
          <w:szCs w:val="20"/>
          <w:lang w:val="en-US"/>
        </w:rPr>
        <w:t xml:space="preserve"> </w:t>
      </w:r>
      <w:r w:rsidR="004A23E3" w:rsidRPr="00EF42B5">
        <w:rPr>
          <w:rFonts w:asciiTheme="minorHAnsi" w:hAnsiTheme="minorHAnsi" w:cstheme="minorHAnsi"/>
          <w:sz w:val="20"/>
          <w:szCs w:val="20"/>
          <w:lang w:val="en-US"/>
        </w:rPr>
        <w:t>strategic vision</w:t>
      </w:r>
      <w:r w:rsidR="00EF42B5">
        <w:rPr>
          <w:rFonts w:asciiTheme="minorHAnsi" w:hAnsiTheme="minorHAnsi" w:cstheme="minorHAnsi"/>
          <w:sz w:val="20"/>
          <w:szCs w:val="20"/>
          <w:lang w:val="en-US"/>
        </w:rPr>
        <w:t>.</w:t>
      </w:r>
    </w:p>
    <w:p w14:paraId="2F988E9F" w14:textId="77777777" w:rsidR="008D0280" w:rsidRPr="00EF42B5" w:rsidRDefault="008D0280" w:rsidP="00EF42B5">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eastAsia="Garamond" w:hAnsiTheme="minorHAnsi" w:cstheme="minorHAnsi"/>
          <w:b/>
          <w:sz w:val="20"/>
          <w:szCs w:val="20"/>
          <w:lang w:val="en-US"/>
        </w:rPr>
      </w:pPr>
    </w:p>
    <w:p w14:paraId="59CDE79C" w14:textId="77412CA9" w:rsidR="008D0280" w:rsidRPr="00EF42B5" w:rsidRDefault="004A23E3" w:rsidP="00EF42B5">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hAnsiTheme="minorHAnsi" w:cstheme="minorHAnsi"/>
          <w:b/>
          <w:color w:val="000000"/>
          <w:sz w:val="20"/>
          <w:szCs w:val="20"/>
        </w:rPr>
      </w:pPr>
      <w:r w:rsidRPr="00EF42B5">
        <w:rPr>
          <w:rFonts w:asciiTheme="minorHAnsi" w:hAnsiTheme="minorHAnsi" w:cstheme="minorHAnsi"/>
          <w:b/>
          <w:color w:val="000000"/>
          <w:sz w:val="20"/>
          <w:szCs w:val="20"/>
        </w:rPr>
        <w:t>Introducción</w:t>
      </w:r>
      <w:r w:rsidR="00ED7BBA">
        <w:rPr>
          <w:rFonts w:asciiTheme="minorHAnsi" w:hAnsiTheme="minorHAnsi" w:cstheme="minorHAnsi"/>
          <w:b/>
          <w:color w:val="000000"/>
          <w:sz w:val="20"/>
          <w:szCs w:val="20"/>
        </w:rPr>
        <w:t>.</w:t>
      </w:r>
    </w:p>
    <w:p w14:paraId="4B3B2A15" w14:textId="77777777" w:rsidR="008D0280" w:rsidRPr="00EF42B5" w:rsidRDefault="008D0280" w:rsidP="00EF42B5">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hAnsiTheme="minorHAnsi" w:cstheme="minorHAnsi"/>
          <w:b/>
          <w:color w:val="000000"/>
          <w:sz w:val="20"/>
          <w:szCs w:val="20"/>
        </w:rPr>
      </w:pPr>
    </w:p>
    <w:p w14:paraId="37CA3C60" w14:textId="77777777" w:rsidR="008D0280" w:rsidRPr="00EF42B5" w:rsidRDefault="004A23E3" w:rsidP="00EF42B5">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709"/>
        </w:tabs>
        <w:spacing w:after="0" w:line="240" w:lineRule="auto"/>
        <w:ind w:left="709"/>
        <w:jc w:val="both"/>
        <w:rPr>
          <w:rFonts w:asciiTheme="minorHAnsi" w:hAnsiTheme="minorHAnsi" w:cstheme="minorHAnsi"/>
          <w:color w:val="000000"/>
          <w:sz w:val="20"/>
          <w:szCs w:val="20"/>
        </w:rPr>
      </w:pPr>
      <w:r w:rsidRPr="00EF42B5">
        <w:rPr>
          <w:rFonts w:asciiTheme="minorHAnsi" w:hAnsiTheme="minorHAnsi" w:cstheme="minorHAnsi"/>
          <w:color w:val="000000"/>
          <w:sz w:val="20"/>
          <w:szCs w:val="20"/>
        </w:rPr>
        <w:t>Las empresas que no imaginen el futuro, no estarán allí para disfrutarlo. (</w:t>
      </w:r>
      <w:proofErr w:type="spellStart"/>
      <w:r w:rsidRPr="00EF42B5">
        <w:rPr>
          <w:rFonts w:asciiTheme="minorHAnsi" w:hAnsiTheme="minorHAnsi" w:cstheme="minorHAnsi"/>
          <w:color w:val="000000"/>
          <w:sz w:val="20"/>
          <w:szCs w:val="20"/>
        </w:rPr>
        <w:t>Hamel</w:t>
      </w:r>
      <w:proofErr w:type="spellEnd"/>
      <w:r w:rsidRPr="00EF42B5">
        <w:rPr>
          <w:rFonts w:asciiTheme="minorHAnsi" w:hAnsiTheme="minorHAnsi" w:cstheme="minorHAnsi"/>
          <w:color w:val="000000"/>
          <w:sz w:val="20"/>
          <w:szCs w:val="20"/>
        </w:rPr>
        <w:t xml:space="preserve"> y </w:t>
      </w:r>
      <w:proofErr w:type="spellStart"/>
      <w:r w:rsidRPr="00EF42B5">
        <w:rPr>
          <w:rFonts w:asciiTheme="minorHAnsi" w:hAnsiTheme="minorHAnsi" w:cstheme="minorHAnsi"/>
          <w:color w:val="000000"/>
          <w:sz w:val="20"/>
          <w:szCs w:val="20"/>
        </w:rPr>
        <w:t>Prahalad</w:t>
      </w:r>
      <w:proofErr w:type="spellEnd"/>
      <w:r w:rsidRPr="00EF42B5">
        <w:rPr>
          <w:rFonts w:asciiTheme="minorHAnsi" w:hAnsiTheme="minorHAnsi" w:cstheme="minorHAnsi"/>
          <w:color w:val="000000"/>
          <w:sz w:val="20"/>
          <w:szCs w:val="20"/>
        </w:rPr>
        <w:t>, 2005, p.76)</w:t>
      </w:r>
    </w:p>
    <w:p w14:paraId="647AF30F" w14:textId="77777777" w:rsidR="008D0280" w:rsidRPr="00EF42B5" w:rsidRDefault="008D0280" w:rsidP="00EF42B5">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heme="minorHAnsi" w:hAnsiTheme="minorHAnsi" w:cstheme="minorHAnsi"/>
          <w:b/>
          <w:color w:val="000000"/>
          <w:sz w:val="20"/>
          <w:szCs w:val="20"/>
        </w:rPr>
      </w:pPr>
    </w:p>
    <w:p w14:paraId="5BCB6B87" w14:textId="1FB26F29" w:rsidR="008D0280" w:rsidRDefault="004A23E3" w:rsidP="00EF42B5">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hAnsiTheme="minorHAnsi" w:cstheme="minorHAnsi"/>
          <w:color w:val="000000"/>
          <w:sz w:val="20"/>
          <w:szCs w:val="20"/>
        </w:rPr>
      </w:pPr>
      <w:r w:rsidRPr="00EF42B5">
        <w:rPr>
          <w:rFonts w:asciiTheme="minorHAnsi" w:hAnsiTheme="minorHAnsi" w:cstheme="minorHAnsi"/>
          <w:color w:val="000000"/>
          <w:sz w:val="20"/>
          <w:szCs w:val="20"/>
        </w:rPr>
        <w:t>La ausencia, en general, de orientaciones estratégicas claras, en términos de política de gestión de recursos escasos, pone de manifiesto las debilidades que caracterizan las capacidades organizativas de una empresa o institución en relación con la necesidad de su adecuación a los cambios que se producen en el contexto particular vinculante (</w:t>
      </w:r>
      <w:proofErr w:type="spellStart"/>
      <w:r w:rsidRPr="00EF42B5">
        <w:rPr>
          <w:rFonts w:asciiTheme="minorHAnsi" w:hAnsiTheme="minorHAnsi" w:cstheme="minorHAnsi"/>
          <w:color w:val="000000"/>
          <w:sz w:val="20"/>
          <w:szCs w:val="20"/>
        </w:rPr>
        <w:t>Ghiglione</w:t>
      </w:r>
      <w:proofErr w:type="spellEnd"/>
      <w:r w:rsidRPr="00EF42B5">
        <w:rPr>
          <w:rFonts w:asciiTheme="minorHAnsi" w:hAnsiTheme="minorHAnsi" w:cstheme="minorHAnsi"/>
          <w:color w:val="000000"/>
          <w:sz w:val="20"/>
          <w:szCs w:val="20"/>
        </w:rPr>
        <w:t xml:space="preserve">, 2015). </w:t>
      </w:r>
    </w:p>
    <w:p w14:paraId="0000B331" w14:textId="77777777" w:rsidR="00EF42B5" w:rsidRDefault="00EF42B5" w:rsidP="00EF42B5">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hAnsiTheme="minorHAnsi" w:cstheme="minorHAnsi"/>
          <w:color w:val="000000"/>
          <w:sz w:val="20"/>
          <w:szCs w:val="20"/>
        </w:rPr>
      </w:pPr>
    </w:p>
    <w:p w14:paraId="25E8F528" w14:textId="278BCF6D" w:rsidR="008D0280" w:rsidRDefault="004A23E3" w:rsidP="00EF42B5">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heme="minorHAnsi" w:hAnsiTheme="minorHAnsi" w:cstheme="minorHAnsi"/>
          <w:color w:val="000000"/>
          <w:sz w:val="20"/>
          <w:szCs w:val="20"/>
        </w:rPr>
      </w:pPr>
      <w:r w:rsidRPr="00EF42B5">
        <w:rPr>
          <w:rFonts w:asciiTheme="minorHAnsi" w:hAnsiTheme="minorHAnsi" w:cstheme="minorHAnsi"/>
          <w:color w:val="000000"/>
          <w:sz w:val="20"/>
          <w:szCs w:val="20"/>
        </w:rPr>
        <w:t xml:space="preserve">Gary </w:t>
      </w:r>
      <w:proofErr w:type="spellStart"/>
      <w:r w:rsidRPr="00EF42B5">
        <w:rPr>
          <w:rFonts w:asciiTheme="minorHAnsi" w:hAnsiTheme="minorHAnsi" w:cstheme="minorHAnsi"/>
          <w:color w:val="000000"/>
          <w:sz w:val="20"/>
          <w:szCs w:val="20"/>
        </w:rPr>
        <w:t>Hamel</w:t>
      </w:r>
      <w:proofErr w:type="spellEnd"/>
      <w:r w:rsidRPr="00EF42B5">
        <w:rPr>
          <w:rFonts w:asciiTheme="minorHAnsi" w:hAnsiTheme="minorHAnsi" w:cstheme="minorHAnsi"/>
          <w:color w:val="000000"/>
          <w:sz w:val="20"/>
          <w:szCs w:val="20"/>
        </w:rPr>
        <w:t xml:space="preserve"> y </w:t>
      </w:r>
      <w:proofErr w:type="spellStart"/>
      <w:r w:rsidRPr="00EF42B5">
        <w:rPr>
          <w:rFonts w:asciiTheme="minorHAnsi" w:hAnsiTheme="minorHAnsi" w:cstheme="minorHAnsi"/>
          <w:color w:val="000000"/>
          <w:sz w:val="20"/>
          <w:szCs w:val="20"/>
        </w:rPr>
        <w:t>Coimbatore</w:t>
      </w:r>
      <w:proofErr w:type="spellEnd"/>
      <w:r w:rsidRPr="00EF42B5">
        <w:rPr>
          <w:rFonts w:asciiTheme="minorHAnsi" w:hAnsiTheme="minorHAnsi" w:cstheme="minorHAnsi"/>
          <w:color w:val="000000"/>
          <w:sz w:val="20"/>
          <w:szCs w:val="20"/>
        </w:rPr>
        <w:t xml:space="preserve"> K. </w:t>
      </w:r>
      <w:proofErr w:type="spellStart"/>
      <w:r w:rsidRPr="00EF42B5">
        <w:rPr>
          <w:rFonts w:asciiTheme="minorHAnsi" w:hAnsiTheme="minorHAnsi" w:cstheme="minorHAnsi"/>
          <w:color w:val="000000"/>
          <w:sz w:val="20"/>
          <w:szCs w:val="20"/>
        </w:rPr>
        <w:t>Prahalad</w:t>
      </w:r>
      <w:proofErr w:type="spellEnd"/>
      <w:r w:rsidRPr="00EF42B5">
        <w:rPr>
          <w:rFonts w:asciiTheme="minorHAnsi" w:hAnsiTheme="minorHAnsi" w:cstheme="minorHAnsi"/>
          <w:color w:val="000000"/>
          <w:sz w:val="20"/>
          <w:szCs w:val="20"/>
        </w:rPr>
        <w:t xml:space="preserve"> (2005) identifican como problemática general de las empresas la falta de confianza en sus propias habilidades para involucrar a toda la organización en la revitalización, mecanismo que permita motivar a sus empleados para alcanzar las metas propuestas. Esto se debe a la ausencia de lineamientos generales y pautas claras, que indefectiblemente son el resultado de un mal o ausente sistema de gestión integral. </w:t>
      </w:r>
    </w:p>
    <w:p w14:paraId="71039284" w14:textId="77777777" w:rsidR="00EF42B5" w:rsidRPr="00EF42B5" w:rsidRDefault="00EF42B5" w:rsidP="00EF42B5">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hAnsiTheme="minorHAnsi" w:cstheme="minorHAnsi"/>
          <w:color w:val="000000"/>
          <w:sz w:val="20"/>
          <w:szCs w:val="20"/>
        </w:rPr>
      </w:pPr>
    </w:p>
    <w:p w14:paraId="7511D492" w14:textId="00E429A0" w:rsidR="008D0280" w:rsidRDefault="004A23E3" w:rsidP="00EF42B5">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heme="minorHAnsi" w:hAnsiTheme="minorHAnsi" w:cstheme="minorHAnsi"/>
          <w:color w:val="000000"/>
          <w:sz w:val="20"/>
          <w:szCs w:val="20"/>
        </w:rPr>
      </w:pPr>
      <w:r w:rsidRPr="00EF42B5">
        <w:rPr>
          <w:rFonts w:asciiTheme="minorHAnsi" w:hAnsiTheme="minorHAnsi" w:cstheme="minorHAnsi"/>
          <w:color w:val="000000"/>
          <w:sz w:val="20"/>
          <w:szCs w:val="20"/>
        </w:rPr>
        <w:t xml:space="preserve">Pero, ¿a qué nos referimos cuando hablamos de estrategia? Según </w:t>
      </w:r>
      <w:proofErr w:type="spellStart"/>
      <w:r w:rsidRPr="00EF42B5">
        <w:rPr>
          <w:rFonts w:asciiTheme="minorHAnsi" w:hAnsiTheme="minorHAnsi" w:cstheme="minorHAnsi"/>
          <w:color w:val="000000"/>
          <w:sz w:val="20"/>
          <w:szCs w:val="20"/>
        </w:rPr>
        <w:t>Porter</w:t>
      </w:r>
      <w:proofErr w:type="spellEnd"/>
      <w:r w:rsidRPr="00EF42B5">
        <w:rPr>
          <w:rFonts w:asciiTheme="minorHAnsi" w:hAnsiTheme="minorHAnsi" w:cstheme="minorHAnsi"/>
          <w:color w:val="000000"/>
          <w:sz w:val="20"/>
          <w:szCs w:val="20"/>
        </w:rPr>
        <w:t xml:space="preserve"> (1996), la esencia de la estrategia implica llevar adelante acciones diferenciadas de las de la competencia. Si el conjunto de acciones mencionadas fuera el óptimo para producir y cumpliera con todas las necesidades, al tiempo que permitiera acceder a todos los clientes, entonces la estrategia garantizaría el posicionamiento competitivo de la organización.</w:t>
      </w:r>
    </w:p>
    <w:p w14:paraId="4C1D8A95" w14:textId="77777777" w:rsidR="00EF42B5" w:rsidRPr="00EF42B5" w:rsidRDefault="00EF42B5" w:rsidP="00EF42B5">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heme="minorHAnsi" w:hAnsiTheme="minorHAnsi" w:cstheme="minorHAnsi"/>
          <w:color w:val="000000"/>
          <w:sz w:val="20"/>
          <w:szCs w:val="20"/>
        </w:rPr>
      </w:pPr>
    </w:p>
    <w:p w14:paraId="4814EB76" w14:textId="245A5D75" w:rsidR="008D0280" w:rsidRDefault="004A23E3" w:rsidP="00EF42B5">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heme="minorHAnsi" w:hAnsiTheme="minorHAnsi" w:cstheme="minorHAnsi"/>
          <w:color w:val="000000"/>
          <w:sz w:val="20"/>
          <w:szCs w:val="20"/>
        </w:rPr>
      </w:pPr>
      <w:r w:rsidRPr="00EF42B5">
        <w:rPr>
          <w:rFonts w:asciiTheme="minorHAnsi" w:hAnsiTheme="minorHAnsi" w:cstheme="minorHAnsi"/>
          <w:color w:val="000000"/>
          <w:sz w:val="20"/>
          <w:szCs w:val="20"/>
        </w:rPr>
        <w:t>La literatura académica refiere que los principales problemas identificados en la gestión cotidiana de las organizaciones están dados por una serie de factores comunes, entre los que se destacan la visión cortoplacista, la ausencia de conectores entre la estrategia y la acción,  la incorrecta comunicación, la falta integral en la implementación de la estrategia, la dificultad para identificar las relaciones causa-efecto, el excesivo interés en los indicadores económico-financieros (</w:t>
      </w:r>
      <w:proofErr w:type="spellStart"/>
      <w:r w:rsidRPr="00EF42B5">
        <w:rPr>
          <w:rFonts w:asciiTheme="minorHAnsi" w:hAnsiTheme="minorHAnsi" w:cstheme="minorHAnsi"/>
          <w:color w:val="000000"/>
          <w:sz w:val="20"/>
          <w:szCs w:val="20"/>
        </w:rPr>
        <w:t>Altair</w:t>
      </w:r>
      <w:proofErr w:type="spellEnd"/>
      <w:r w:rsidRPr="00EF42B5">
        <w:rPr>
          <w:rFonts w:asciiTheme="minorHAnsi" w:hAnsiTheme="minorHAnsi" w:cstheme="minorHAnsi"/>
          <w:color w:val="000000"/>
          <w:sz w:val="20"/>
          <w:szCs w:val="20"/>
        </w:rPr>
        <w:t xml:space="preserve"> Consultores, 2005; Kaplan y Norton, 2004). </w:t>
      </w:r>
    </w:p>
    <w:p w14:paraId="39C022F4" w14:textId="77777777" w:rsidR="00EF42B5" w:rsidRPr="00EF42B5" w:rsidRDefault="00EF42B5" w:rsidP="00EF42B5">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heme="minorHAnsi" w:hAnsiTheme="minorHAnsi" w:cstheme="minorHAnsi"/>
          <w:color w:val="000000"/>
          <w:sz w:val="20"/>
          <w:szCs w:val="20"/>
        </w:rPr>
      </w:pPr>
    </w:p>
    <w:p w14:paraId="6599E29C" w14:textId="00EFBD9D" w:rsidR="008D0280" w:rsidRDefault="004A23E3" w:rsidP="00EF42B5">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heme="minorHAnsi" w:hAnsiTheme="minorHAnsi" w:cstheme="minorHAnsi"/>
          <w:color w:val="000000"/>
          <w:sz w:val="20"/>
          <w:szCs w:val="20"/>
        </w:rPr>
      </w:pPr>
      <w:r w:rsidRPr="00EF42B5">
        <w:rPr>
          <w:rFonts w:asciiTheme="minorHAnsi" w:hAnsiTheme="minorHAnsi" w:cstheme="minorHAnsi"/>
          <w:color w:val="000000"/>
          <w:sz w:val="20"/>
          <w:szCs w:val="20"/>
        </w:rPr>
        <w:t xml:space="preserve">De acuerdo a </w:t>
      </w:r>
      <w:proofErr w:type="spellStart"/>
      <w:r w:rsidRPr="00EF42B5">
        <w:rPr>
          <w:rFonts w:asciiTheme="minorHAnsi" w:hAnsiTheme="minorHAnsi" w:cstheme="minorHAnsi"/>
          <w:color w:val="000000"/>
          <w:sz w:val="20"/>
          <w:szCs w:val="20"/>
        </w:rPr>
        <w:t>Altair</w:t>
      </w:r>
      <w:proofErr w:type="spellEnd"/>
      <w:r w:rsidRPr="00EF42B5">
        <w:rPr>
          <w:rFonts w:asciiTheme="minorHAnsi" w:hAnsiTheme="minorHAnsi" w:cstheme="minorHAnsi"/>
          <w:color w:val="000000"/>
          <w:sz w:val="20"/>
          <w:szCs w:val="20"/>
        </w:rPr>
        <w:t xml:space="preserve"> Consultores (2005), las organizaciones reconocen que el posicionamiento competitivo ya no es el resultado de las inversiones en activos, sino que es producto del conocimiento, las habilidades y las interrelaciones, comúnmente conocido como capital social.  </w:t>
      </w:r>
    </w:p>
    <w:p w14:paraId="0849E038" w14:textId="77777777" w:rsidR="00EF42B5" w:rsidRPr="00EF42B5" w:rsidRDefault="00EF42B5" w:rsidP="00EF42B5">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heme="minorHAnsi" w:hAnsiTheme="minorHAnsi" w:cstheme="minorHAnsi"/>
          <w:color w:val="000000"/>
          <w:sz w:val="20"/>
          <w:szCs w:val="20"/>
        </w:rPr>
      </w:pPr>
    </w:p>
    <w:p w14:paraId="5B976538" w14:textId="152B6FF5" w:rsidR="008D0280" w:rsidRDefault="004A23E3" w:rsidP="00EF42B5">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heme="minorHAnsi" w:hAnsiTheme="minorHAnsi" w:cstheme="minorHAnsi"/>
          <w:color w:val="000000"/>
          <w:sz w:val="20"/>
          <w:szCs w:val="20"/>
        </w:rPr>
      </w:pPr>
      <w:r w:rsidRPr="00EF42B5">
        <w:rPr>
          <w:rFonts w:asciiTheme="minorHAnsi" w:hAnsiTheme="minorHAnsi" w:cstheme="minorHAnsi"/>
          <w:color w:val="000000"/>
          <w:sz w:val="20"/>
          <w:szCs w:val="20"/>
        </w:rPr>
        <w:t xml:space="preserve">Como hipótesis de partida entendemos que es necesario plantear la evaluación de la gestión no sólo como un instrumento más, sino como un componente que favorezca un proceso de cambio integral orientado a una gestión estratégica de los recursos y que esté alineada a los objetivos que le dan sentido institucional. Esto, a su vez, hace que resulte indispensable tener claros los parámetros de concreción de la evaluación, ya sea respecto del planteamiento y los objetivos como respecto de su aplicación, y considerar las características del instrumento en términos de efectividad, eficiencia, eficacia y factibilidad de implementación de la estrategia. </w:t>
      </w:r>
    </w:p>
    <w:p w14:paraId="3E72BE0B" w14:textId="77777777" w:rsidR="00EF42B5" w:rsidRPr="00EF42B5" w:rsidRDefault="00EF42B5" w:rsidP="00EF42B5">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heme="minorHAnsi" w:hAnsiTheme="minorHAnsi" w:cstheme="minorHAnsi"/>
          <w:color w:val="000000"/>
          <w:sz w:val="20"/>
          <w:szCs w:val="20"/>
        </w:rPr>
      </w:pPr>
    </w:p>
    <w:p w14:paraId="5A12FA6C" w14:textId="52F17862" w:rsidR="008D0280" w:rsidRDefault="004A23E3" w:rsidP="00EF42B5">
      <w:pPr>
        <w:pBdr>
          <w:top w:val="nil"/>
          <w:left w:val="nil"/>
          <w:bottom w:val="nil"/>
          <w:right w:val="nil"/>
          <w:between w:val="nil"/>
        </w:pBdr>
        <w:spacing w:after="0" w:line="240" w:lineRule="auto"/>
        <w:ind w:firstLine="709"/>
        <w:jc w:val="both"/>
        <w:rPr>
          <w:rFonts w:asciiTheme="minorHAnsi" w:hAnsiTheme="minorHAnsi" w:cstheme="minorHAnsi"/>
          <w:color w:val="000000"/>
          <w:sz w:val="20"/>
          <w:szCs w:val="20"/>
        </w:rPr>
      </w:pPr>
      <w:r w:rsidRPr="00EF42B5">
        <w:rPr>
          <w:rFonts w:asciiTheme="minorHAnsi" w:hAnsiTheme="minorHAnsi" w:cstheme="minorHAnsi"/>
          <w:color w:val="000000"/>
          <w:sz w:val="20"/>
          <w:szCs w:val="20"/>
        </w:rPr>
        <w:t xml:space="preserve">Karen </w:t>
      </w:r>
      <w:proofErr w:type="spellStart"/>
      <w:r w:rsidRPr="00EF42B5">
        <w:rPr>
          <w:rFonts w:asciiTheme="minorHAnsi" w:hAnsiTheme="minorHAnsi" w:cstheme="minorHAnsi"/>
          <w:color w:val="000000"/>
          <w:sz w:val="20"/>
          <w:szCs w:val="20"/>
        </w:rPr>
        <w:t>Mokate</w:t>
      </w:r>
      <w:proofErr w:type="spellEnd"/>
      <w:r w:rsidRPr="00EF42B5">
        <w:rPr>
          <w:rFonts w:asciiTheme="minorHAnsi" w:hAnsiTheme="minorHAnsi" w:cstheme="minorHAnsi"/>
          <w:color w:val="000000"/>
          <w:sz w:val="20"/>
          <w:szCs w:val="20"/>
        </w:rPr>
        <w:t xml:space="preserve"> (2001) define y diferencia los conceptos de </w:t>
      </w:r>
      <w:r w:rsidRPr="00EF42B5">
        <w:rPr>
          <w:rFonts w:asciiTheme="minorHAnsi" w:hAnsiTheme="minorHAnsi" w:cstheme="minorHAnsi"/>
          <w:i/>
          <w:color w:val="000000"/>
          <w:sz w:val="20"/>
          <w:szCs w:val="20"/>
        </w:rPr>
        <w:t>eficacia</w:t>
      </w:r>
      <w:r w:rsidRPr="00EF42B5">
        <w:rPr>
          <w:rFonts w:asciiTheme="minorHAnsi" w:hAnsiTheme="minorHAnsi" w:cstheme="minorHAnsi"/>
          <w:color w:val="000000"/>
          <w:sz w:val="20"/>
          <w:szCs w:val="20"/>
        </w:rPr>
        <w:t xml:space="preserve"> y </w:t>
      </w:r>
      <w:r w:rsidRPr="00EF42B5">
        <w:rPr>
          <w:rFonts w:asciiTheme="minorHAnsi" w:hAnsiTheme="minorHAnsi" w:cstheme="minorHAnsi"/>
          <w:i/>
          <w:color w:val="000000"/>
          <w:sz w:val="20"/>
          <w:szCs w:val="20"/>
        </w:rPr>
        <w:t>eficiencia</w:t>
      </w:r>
      <w:r w:rsidRPr="00EF42B5">
        <w:rPr>
          <w:rFonts w:asciiTheme="minorHAnsi" w:hAnsiTheme="minorHAnsi" w:cstheme="minorHAnsi"/>
          <w:color w:val="000000"/>
          <w:sz w:val="20"/>
          <w:szCs w:val="20"/>
        </w:rPr>
        <w:t xml:space="preserve">. Si bien ambos se concentran en lograr los objetivos propuestos, la eficiencia asocia medios y fines, utilizando los menores recursos posibles. </w:t>
      </w:r>
    </w:p>
    <w:p w14:paraId="14A43B98" w14:textId="77777777" w:rsidR="00EF42B5" w:rsidRPr="00EF42B5" w:rsidRDefault="00EF42B5" w:rsidP="00EF42B5">
      <w:pPr>
        <w:pBdr>
          <w:top w:val="nil"/>
          <w:left w:val="nil"/>
          <w:bottom w:val="nil"/>
          <w:right w:val="nil"/>
          <w:between w:val="nil"/>
        </w:pBdr>
        <w:spacing w:after="0" w:line="240" w:lineRule="auto"/>
        <w:ind w:firstLine="709"/>
        <w:jc w:val="both"/>
        <w:rPr>
          <w:rFonts w:asciiTheme="minorHAnsi" w:hAnsiTheme="minorHAnsi" w:cstheme="minorHAnsi"/>
          <w:color w:val="000000"/>
          <w:sz w:val="20"/>
          <w:szCs w:val="20"/>
        </w:rPr>
      </w:pPr>
    </w:p>
    <w:p w14:paraId="251DDC59" w14:textId="77777777" w:rsidR="008D0280" w:rsidRPr="00EF42B5" w:rsidRDefault="004A23E3" w:rsidP="00EF42B5">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heme="minorHAnsi" w:hAnsiTheme="minorHAnsi" w:cstheme="minorHAnsi"/>
          <w:color w:val="000000"/>
          <w:sz w:val="20"/>
          <w:szCs w:val="20"/>
        </w:rPr>
      </w:pPr>
      <w:r w:rsidRPr="00EF42B5">
        <w:rPr>
          <w:rFonts w:asciiTheme="minorHAnsi" w:hAnsiTheme="minorHAnsi" w:cstheme="minorHAnsi"/>
          <w:color w:val="000000"/>
          <w:sz w:val="20"/>
          <w:szCs w:val="20"/>
        </w:rPr>
        <w:t xml:space="preserve">Desde esta perspectiva, la herramienta en consideración no sólo refiere a lo operativo y estratégico en cuanto es una herramienta de gestión de los recursos, sino que, además, incorpora un potencial de apoyo a procesos de cambio organizativo en la medida en que propicia afectaciones en la cultura administrativa y ofrece una sólida base de información para monitorear y validar la evolución del sistema en su conjunto.  </w:t>
      </w:r>
    </w:p>
    <w:p w14:paraId="059B1761" w14:textId="77777777" w:rsidR="008D0280" w:rsidRPr="00EF42B5" w:rsidRDefault="008D0280" w:rsidP="00EF42B5">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hAnsiTheme="minorHAnsi" w:cstheme="minorHAnsi"/>
          <w:b/>
          <w:color w:val="000000"/>
          <w:sz w:val="20"/>
          <w:szCs w:val="20"/>
        </w:rPr>
      </w:pPr>
    </w:p>
    <w:p w14:paraId="29DC9DEF" w14:textId="77777777" w:rsidR="008D0280" w:rsidRPr="00EF42B5" w:rsidRDefault="008D0280" w:rsidP="00EF42B5">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hAnsiTheme="minorHAnsi" w:cstheme="minorHAnsi"/>
          <w:b/>
          <w:color w:val="000000"/>
          <w:sz w:val="20"/>
          <w:szCs w:val="20"/>
        </w:rPr>
      </w:pPr>
    </w:p>
    <w:p w14:paraId="0FA3AE6C" w14:textId="1A5B4E07" w:rsidR="008D0280" w:rsidRPr="00EF42B5" w:rsidRDefault="004A23E3" w:rsidP="00EF42B5">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hAnsiTheme="minorHAnsi" w:cstheme="minorHAnsi"/>
          <w:b/>
          <w:color w:val="000000"/>
          <w:sz w:val="20"/>
          <w:szCs w:val="20"/>
        </w:rPr>
      </w:pPr>
      <w:r w:rsidRPr="00EF42B5">
        <w:rPr>
          <w:rFonts w:asciiTheme="minorHAnsi" w:hAnsiTheme="minorHAnsi" w:cstheme="minorHAnsi"/>
          <w:b/>
          <w:color w:val="000000"/>
          <w:sz w:val="20"/>
          <w:szCs w:val="20"/>
        </w:rPr>
        <w:lastRenderedPageBreak/>
        <w:t xml:space="preserve">Importancia </w:t>
      </w:r>
      <w:r w:rsidR="00EF42B5">
        <w:rPr>
          <w:rFonts w:asciiTheme="minorHAnsi" w:hAnsiTheme="minorHAnsi" w:cstheme="minorHAnsi"/>
          <w:b/>
          <w:color w:val="000000"/>
          <w:sz w:val="20"/>
          <w:szCs w:val="20"/>
        </w:rPr>
        <w:t>d</w:t>
      </w:r>
      <w:r w:rsidR="00EF42B5" w:rsidRPr="00EF42B5">
        <w:rPr>
          <w:rFonts w:asciiTheme="minorHAnsi" w:hAnsiTheme="minorHAnsi" w:cstheme="minorHAnsi"/>
          <w:b/>
          <w:color w:val="000000"/>
          <w:sz w:val="20"/>
          <w:szCs w:val="20"/>
        </w:rPr>
        <w:t xml:space="preserve">e </w:t>
      </w:r>
      <w:r w:rsidR="00EF42B5">
        <w:rPr>
          <w:rFonts w:asciiTheme="minorHAnsi" w:hAnsiTheme="minorHAnsi" w:cstheme="minorHAnsi"/>
          <w:b/>
          <w:color w:val="000000"/>
          <w:sz w:val="20"/>
          <w:szCs w:val="20"/>
        </w:rPr>
        <w:t>l</w:t>
      </w:r>
      <w:r w:rsidR="00EF42B5" w:rsidRPr="00EF42B5">
        <w:rPr>
          <w:rFonts w:asciiTheme="minorHAnsi" w:hAnsiTheme="minorHAnsi" w:cstheme="minorHAnsi"/>
          <w:b/>
          <w:color w:val="000000"/>
          <w:sz w:val="20"/>
          <w:szCs w:val="20"/>
        </w:rPr>
        <w:t xml:space="preserve">a Eficiencia </w:t>
      </w:r>
      <w:r w:rsidR="00EF42B5">
        <w:rPr>
          <w:rFonts w:asciiTheme="minorHAnsi" w:hAnsiTheme="minorHAnsi" w:cstheme="minorHAnsi"/>
          <w:b/>
          <w:color w:val="000000"/>
          <w:sz w:val="20"/>
          <w:szCs w:val="20"/>
        </w:rPr>
        <w:t>e</w:t>
      </w:r>
      <w:r w:rsidR="00EF42B5" w:rsidRPr="00EF42B5">
        <w:rPr>
          <w:rFonts w:asciiTheme="minorHAnsi" w:hAnsiTheme="minorHAnsi" w:cstheme="minorHAnsi"/>
          <w:b/>
          <w:color w:val="000000"/>
          <w:sz w:val="20"/>
          <w:szCs w:val="20"/>
        </w:rPr>
        <w:t xml:space="preserve">n </w:t>
      </w:r>
      <w:r w:rsidR="00EF42B5">
        <w:rPr>
          <w:rFonts w:asciiTheme="minorHAnsi" w:hAnsiTheme="minorHAnsi" w:cstheme="minorHAnsi"/>
          <w:b/>
          <w:color w:val="000000"/>
          <w:sz w:val="20"/>
          <w:szCs w:val="20"/>
        </w:rPr>
        <w:t>l</w:t>
      </w:r>
      <w:r w:rsidR="00EF42B5" w:rsidRPr="00EF42B5">
        <w:rPr>
          <w:rFonts w:asciiTheme="minorHAnsi" w:hAnsiTheme="minorHAnsi" w:cstheme="minorHAnsi"/>
          <w:b/>
          <w:color w:val="000000"/>
          <w:sz w:val="20"/>
          <w:szCs w:val="20"/>
        </w:rPr>
        <w:t>a Gestión Empresarial</w:t>
      </w:r>
      <w:r w:rsidR="00ED7BBA">
        <w:rPr>
          <w:rFonts w:asciiTheme="minorHAnsi" w:hAnsiTheme="minorHAnsi" w:cstheme="minorHAnsi"/>
          <w:b/>
          <w:color w:val="000000"/>
          <w:sz w:val="20"/>
          <w:szCs w:val="20"/>
        </w:rPr>
        <w:t>.</w:t>
      </w:r>
    </w:p>
    <w:p w14:paraId="15671B7C" w14:textId="77777777" w:rsidR="008D0280" w:rsidRPr="00EF42B5" w:rsidRDefault="008D0280" w:rsidP="00EF42B5">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hAnsiTheme="minorHAnsi" w:cstheme="minorHAnsi"/>
          <w:b/>
          <w:color w:val="000000"/>
          <w:sz w:val="20"/>
          <w:szCs w:val="20"/>
        </w:rPr>
      </w:pPr>
    </w:p>
    <w:p w14:paraId="2F962B01" w14:textId="22C50B5E" w:rsidR="008D0280" w:rsidRDefault="004A23E3" w:rsidP="00EF42B5">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hAnsiTheme="minorHAnsi" w:cstheme="minorHAnsi"/>
          <w:color w:val="000000"/>
          <w:sz w:val="20"/>
          <w:szCs w:val="20"/>
        </w:rPr>
      </w:pPr>
      <w:r w:rsidRPr="00EF42B5">
        <w:rPr>
          <w:rFonts w:asciiTheme="minorHAnsi" w:hAnsiTheme="minorHAnsi" w:cstheme="minorHAnsi"/>
          <w:color w:val="000000"/>
          <w:sz w:val="20"/>
          <w:szCs w:val="20"/>
        </w:rPr>
        <w:t xml:space="preserve">De acuerdo a Noel Batista Hernández y Jesús </w:t>
      </w:r>
      <w:proofErr w:type="spellStart"/>
      <w:r w:rsidRPr="00EF42B5">
        <w:rPr>
          <w:rFonts w:asciiTheme="minorHAnsi" w:hAnsiTheme="minorHAnsi" w:cstheme="minorHAnsi"/>
          <w:color w:val="000000"/>
          <w:sz w:val="20"/>
          <w:szCs w:val="20"/>
        </w:rPr>
        <w:t>Estupiñán</w:t>
      </w:r>
      <w:proofErr w:type="spellEnd"/>
      <w:r w:rsidRPr="00EF42B5">
        <w:rPr>
          <w:rFonts w:asciiTheme="minorHAnsi" w:hAnsiTheme="minorHAnsi" w:cstheme="minorHAnsi"/>
          <w:color w:val="000000"/>
          <w:sz w:val="20"/>
          <w:szCs w:val="20"/>
        </w:rPr>
        <w:t xml:space="preserve"> Ricardo (2018), la tendencia hacia la creciente globalización de la economía y el comercio internacional, junto a los avances tecnológico-científicos, han elevado considerablemente los estándares de calidad de los productos y servicios. El consumidor se ha vuelto un individuo sofisticado que procesa con facilidad la información funcional. Ante ello, atender estas demandas requiere que la innovación y la eficiencia en los procesos cobren una relevancia significativa en los sistemas de gestión. </w:t>
      </w:r>
    </w:p>
    <w:p w14:paraId="7C51DD73" w14:textId="77777777" w:rsidR="00EF42B5" w:rsidRPr="00EF42B5" w:rsidRDefault="00EF42B5" w:rsidP="00EF42B5">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hAnsiTheme="minorHAnsi" w:cstheme="minorHAnsi"/>
          <w:color w:val="000000"/>
          <w:sz w:val="20"/>
          <w:szCs w:val="20"/>
        </w:rPr>
      </w:pPr>
    </w:p>
    <w:p w14:paraId="2EFC9FBA" w14:textId="6BA98FD8" w:rsidR="008D0280" w:rsidRDefault="004A23E3" w:rsidP="00EF42B5">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heme="minorHAnsi" w:hAnsiTheme="minorHAnsi" w:cstheme="minorHAnsi"/>
          <w:color w:val="000000"/>
          <w:sz w:val="20"/>
          <w:szCs w:val="20"/>
        </w:rPr>
      </w:pPr>
      <w:r w:rsidRPr="00EF42B5">
        <w:rPr>
          <w:rFonts w:asciiTheme="minorHAnsi" w:hAnsiTheme="minorHAnsi" w:cstheme="minorHAnsi"/>
          <w:color w:val="000000"/>
          <w:sz w:val="20"/>
          <w:szCs w:val="20"/>
        </w:rPr>
        <w:t xml:space="preserve">La gestión se ha consolidado como una herramienta fundamental para el desarrollo económico, no sólo para las empresas, organizaciones e instituciones, sino también para el propio sector productivo e incluso a nivel país. Aplicar un adecuado sistema de gestión eventualmente se traduce en la reducción de los costos y mejora de los márgenes asociados a la actividad, aumento del </w:t>
      </w:r>
      <w:proofErr w:type="spellStart"/>
      <w:r w:rsidRPr="00EF42B5">
        <w:rPr>
          <w:rFonts w:asciiTheme="minorHAnsi" w:hAnsiTheme="minorHAnsi" w:cstheme="minorHAnsi"/>
          <w:i/>
          <w:color w:val="000000"/>
          <w:sz w:val="20"/>
          <w:szCs w:val="20"/>
        </w:rPr>
        <w:t>market</w:t>
      </w:r>
      <w:proofErr w:type="spellEnd"/>
      <w:r w:rsidRPr="00EF42B5">
        <w:rPr>
          <w:rFonts w:asciiTheme="minorHAnsi" w:hAnsiTheme="minorHAnsi" w:cstheme="minorHAnsi"/>
          <w:i/>
          <w:color w:val="000000"/>
          <w:sz w:val="20"/>
          <w:szCs w:val="20"/>
        </w:rPr>
        <w:t xml:space="preserve"> share</w:t>
      </w:r>
      <w:r w:rsidRPr="00EF42B5">
        <w:rPr>
          <w:rFonts w:asciiTheme="minorHAnsi" w:hAnsiTheme="minorHAnsi" w:cstheme="minorHAnsi"/>
          <w:color w:val="000000"/>
          <w:sz w:val="20"/>
          <w:szCs w:val="20"/>
        </w:rPr>
        <w:t xml:space="preserve"> y satisfacción del cliente (Mora-Pisco et al., 2016). </w:t>
      </w:r>
    </w:p>
    <w:p w14:paraId="6300301A" w14:textId="77777777" w:rsidR="00EF42B5" w:rsidRPr="00EF42B5" w:rsidRDefault="00EF42B5" w:rsidP="00EF42B5">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heme="minorHAnsi" w:hAnsiTheme="minorHAnsi" w:cstheme="minorHAnsi"/>
          <w:color w:val="000000"/>
          <w:sz w:val="20"/>
          <w:szCs w:val="20"/>
        </w:rPr>
      </w:pPr>
    </w:p>
    <w:p w14:paraId="2C887EA9" w14:textId="19423F2C" w:rsidR="008D0280" w:rsidRDefault="004A23E3" w:rsidP="00EF42B5">
      <w:pPr>
        <w:pBdr>
          <w:top w:val="nil"/>
          <w:left w:val="nil"/>
          <w:bottom w:val="nil"/>
          <w:right w:val="nil"/>
          <w:between w:val="nil"/>
        </w:pBdr>
        <w:spacing w:after="0" w:line="240" w:lineRule="auto"/>
        <w:ind w:firstLine="709"/>
        <w:jc w:val="both"/>
        <w:rPr>
          <w:rFonts w:asciiTheme="minorHAnsi" w:hAnsiTheme="minorHAnsi" w:cstheme="minorHAnsi"/>
          <w:color w:val="000000"/>
          <w:sz w:val="20"/>
          <w:szCs w:val="20"/>
        </w:rPr>
      </w:pPr>
      <w:r w:rsidRPr="00EF42B5">
        <w:rPr>
          <w:rFonts w:asciiTheme="minorHAnsi" w:hAnsiTheme="minorHAnsi" w:cstheme="minorHAnsi"/>
          <w:color w:val="000000"/>
          <w:sz w:val="20"/>
          <w:szCs w:val="20"/>
        </w:rPr>
        <w:t xml:space="preserve">Por su parte, Daniel Martínez </w:t>
      </w:r>
      <w:proofErr w:type="spellStart"/>
      <w:r w:rsidRPr="00EF42B5">
        <w:rPr>
          <w:rFonts w:asciiTheme="minorHAnsi" w:hAnsiTheme="minorHAnsi" w:cstheme="minorHAnsi"/>
          <w:color w:val="000000"/>
          <w:sz w:val="20"/>
          <w:szCs w:val="20"/>
        </w:rPr>
        <w:t>Pedrós</w:t>
      </w:r>
      <w:proofErr w:type="spellEnd"/>
      <w:r w:rsidRPr="00EF42B5">
        <w:rPr>
          <w:rFonts w:asciiTheme="minorHAnsi" w:hAnsiTheme="minorHAnsi" w:cstheme="minorHAnsi"/>
          <w:color w:val="000000"/>
          <w:sz w:val="20"/>
          <w:szCs w:val="20"/>
        </w:rPr>
        <w:t xml:space="preserve"> y Artemio Milla Gutiérrez (2012) afirman que debemos identificar y diferenciar claramente las etapas de definición, implementación y evaluación de la estrategia. Habitualmente, la dirección concentra todo su esfuerzo en la delimitación de los objetivos estratégicos, sin considerar que deben ser comunicados a todos los integrantes de la organización, pues son ellos quienes deben implementar las acciones y medir sus resultados. Esta, sin dudas, es una de las principales causas de fracaso en la implantación de la estrategia organizacional competitiva. Resulta necesario, además, evaluar el grado de alineación de los objetivos estratégicos y operativos funcionales, la vinculación entre las decisiones operativas y el plan estratégico, como así también el seguimiento y la evaluación sistemática de los indicadores de gestión. En consecuencia, la correcta implementación de las estrategias de gestión requiere de la instrumentación de una estructura organizativa adecuada, la definición de planes de acción enfocados en la concreción de los objetivos estratégicos, una adecuada comunicación y la puesta en marcha del sistema de monitoreo y evaluación. </w:t>
      </w:r>
    </w:p>
    <w:p w14:paraId="1D7E39C7" w14:textId="77777777" w:rsidR="00EF42B5" w:rsidRPr="00EF42B5" w:rsidRDefault="00EF42B5" w:rsidP="00EF42B5">
      <w:pPr>
        <w:pBdr>
          <w:top w:val="nil"/>
          <w:left w:val="nil"/>
          <w:bottom w:val="nil"/>
          <w:right w:val="nil"/>
          <w:between w:val="nil"/>
        </w:pBdr>
        <w:spacing w:after="0" w:line="240" w:lineRule="auto"/>
        <w:ind w:firstLine="709"/>
        <w:jc w:val="both"/>
        <w:rPr>
          <w:rFonts w:asciiTheme="minorHAnsi" w:hAnsiTheme="minorHAnsi" w:cstheme="minorHAnsi"/>
          <w:color w:val="000000"/>
          <w:sz w:val="20"/>
          <w:szCs w:val="20"/>
        </w:rPr>
      </w:pPr>
    </w:p>
    <w:p w14:paraId="0B6FD5F1" w14:textId="29C69B04" w:rsidR="008D0280" w:rsidRDefault="004A23E3" w:rsidP="00EF42B5">
      <w:pPr>
        <w:pBdr>
          <w:top w:val="nil"/>
          <w:left w:val="nil"/>
          <w:bottom w:val="nil"/>
          <w:right w:val="nil"/>
          <w:between w:val="nil"/>
        </w:pBdr>
        <w:spacing w:after="0" w:line="240" w:lineRule="auto"/>
        <w:ind w:firstLine="851"/>
        <w:jc w:val="both"/>
        <w:rPr>
          <w:rFonts w:asciiTheme="minorHAnsi" w:hAnsiTheme="minorHAnsi" w:cstheme="minorHAnsi"/>
          <w:color w:val="000000"/>
          <w:sz w:val="20"/>
          <w:szCs w:val="20"/>
        </w:rPr>
      </w:pPr>
      <w:r w:rsidRPr="00EF42B5">
        <w:rPr>
          <w:rFonts w:asciiTheme="minorHAnsi" w:hAnsiTheme="minorHAnsi" w:cstheme="minorHAnsi"/>
          <w:color w:val="000000"/>
          <w:sz w:val="20"/>
          <w:szCs w:val="20"/>
        </w:rPr>
        <w:t xml:space="preserve">La herramienta de gestión </w:t>
      </w:r>
      <w:proofErr w:type="spellStart"/>
      <w:r w:rsidRPr="00EF42B5">
        <w:rPr>
          <w:rFonts w:asciiTheme="minorHAnsi" w:hAnsiTheme="minorHAnsi" w:cstheme="minorHAnsi"/>
          <w:i/>
          <w:color w:val="000000"/>
          <w:sz w:val="20"/>
          <w:szCs w:val="20"/>
        </w:rPr>
        <w:t>Balanced</w:t>
      </w:r>
      <w:proofErr w:type="spellEnd"/>
      <w:r w:rsidRPr="00EF42B5">
        <w:rPr>
          <w:rFonts w:asciiTheme="minorHAnsi" w:hAnsiTheme="minorHAnsi" w:cstheme="minorHAnsi"/>
          <w:i/>
          <w:color w:val="000000"/>
          <w:sz w:val="20"/>
          <w:szCs w:val="20"/>
        </w:rPr>
        <w:t xml:space="preserve"> </w:t>
      </w:r>
      <w:proofErr w:type="spellStart"/>
      <w:r w:rsidRPr="00EF42B5">
        <w:rPr>
          <w:rFonts w:asciiTheme="minorHAnsi" w:hAnsiTheme="minorHAnsi" w:cstheme="minorHAnsi"/>
          <w:i/>
          <w:color w:val="000000"/>
          <w:sz w:val="20"/>
          <w:szCs w:val="20"/>
        </w:rPr>
        <w:t>Scorecard</w:t>
      </w:r>
      <w:proofErr w:type="spellEnd"/>
      <w:r w:rsidRPr="00EF42B5">
        <w:rPr>
          <w:rFonts w:asciiTheme="minorHAnsi" w:hAnsiTheme="minorHAnsi" w:cstheme="minorHAnsi"/>
          <w:color w:val="000000"/>
          <w:sz w:val="20"/>
          <w:szCs w:val="20"/>
        </w:rPr>
        <w:t xml:space="preserve"> (BSC), también denominada Cuadro de Mando Integral o Tablero de Control, resulta efectiva para la toma de decisiones, pues permite definir estrategias organizacionales, comunicarlas en forma clara y precisa a todos sus integrantes y efectivizarlas en acciones concretas, mediante un conjunto de indicadores de Gestión integral. </w:t>
      </w:r>
    </w:p>
    <w:p w14:paraId="4335A286" w14:textId="77777777" w:rsidR="00EF42B5" w:rsidRPr="00EF42B5" w:rsidRDefault="00EF42B5" w:rsidP="00EF42B5">
      <w:pPr>
        <w:pBdr>
          <w:top w:val="nil"/>
          <w:left w:val="nil"/>
          <w:bottom w:val="nil"/>
          <w:right w:val="nil"/>
          <w:between w:val="nil"/>
        </w:pBdr>
        <w:spacing w:after="0" w:line="240" w:lineRule="auto"/>
        <w:ind w:firstLine="851"/>
        <w:jc w:val="both"/>
        <w:rPr>
          <w:rFonts w:asciiTheme="minorHAnsi" w:hAnsiTheme="minorHAnsi" w:cstheme="minorHAnsi"/>
          <w:color w:val="000000"/>
          <w:sz w:val="20"/>
          <w:szCs w:val="20"/>
        </w:rPr>
      </w:pPr>
    </w:p>
    <w:p w14:paraId="5C6F2909" w14:textId="77777777" w:rsidR="008D0280" w:rsidRPr="00EF42B5" w:rsidRDefault="008D0280" w:rsidP="00EF42B5">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heme="minorHAnsi" w:hAnsiTheme="minorHAnsi" w:cstheme="minorHAnsi"/>
          <w:color w:val="000000"/>
          <w:sz w:val="20"/>
          <w:szCs w:val="20"/>
        </w:rPr>
      </w:pPr>
    </w:p>
    <w:p w14:paraId="2F8617BC" w14:textId="3BCD14F8" w:rsidR="008D0280" w:rsidRPr="00EF42B5" w:rsidRDefault="004A23E3" w:rsidP="00EF42B5">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hAnsiTheme="minorHAnsi" w:cstheme="minorHAnsi"/>
          <w:b/>
          <w:color w:val="000000"/>
          <w:sz w:val="20"/>
          <w:szCs w:val="20"/>
        </w:rPr>
      </w:pPr>
      <w:r w:rsidRPr="00EF42B5">
        <w:rPr>
          <w:rFonts w:asciiTheme="minorHAnsi" w:hAnsiTheme="minorHAnsi" w:cstheme="minorHAnsi"/>
          <w:b/>
          <w:color w:val="000000"/>
          <w:sz w:val="20"/>
          <w:szCs w:val="20"/>
        </w:rPr>
        <w:t>El Cuadro de Mando Integral</w:t>
      </w:r>
      <w:r w:rsidR="00ED7BBA">
        <w:rPr>
          <w:rFonts w:asciiTheme="minorHAnsi" w:hAnsiTheme="minorHAnsi" w:cstheme="minorHAnsi"/>
          <w:b/>
          <w:color w:val="000000"/>
          <w:sz w:val="20"/>
          <w:szCs w:val="20"/>
        </w:rPr>
        <w:t>.</w:t>
      </w:r>
    </w:p>
    <w:p w14:paraId="46495C7E" w14:textId="77777777" w:rsidR="008D0280" w:rsidRPr="00EF42B5" w:rsidRDefault="008D0280" w:rsidP="00EF42B5">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hAnsiTheme="minorHAnsi" w:cstheme="minorHAnsi"/>
          <w:b/>
          <w:color w:val="000000"/>
          <w:sz w:val="20"/>
          <w:szCs w:val="20"/>
        </w:rPr>
      </w:pPr>
    </w:p>
    <w:p w14:paraId="076E1569" w14:textId="7BA8BFC0" w:rsidR="008D0280" w:rsidRDefault="004A23E3" w:rsidP="00EF42B5">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hAnsiTheme="minorHAnsi" w:cstheme="minorHAnsi"/>
          <w:color w:val="000000"/>
          <w:sz w:val="20"/>
          <w:szCs w:val="20"/>
        </w:rPr>
      </w:pPr>
      <w:r w:rsidRPr="00EF42B5">
        <w:rPr>
          <w:rFonts w:asciiTheme="minorHAnsi" w:hAnsiTheme="minorHAnsi" w:cstheme="minorHAnsi"/>
          <w:color w:val="000000"/>
          <w:sz w:val="20"/>
          <w:szCs w:val="20"/>
        </w:rPr>
        <w:t xml:space="preserve">De la sección anterior se desprende una pregunta lógica: ¿por qué resulta necesario implementar el </w:t>
      </w:r>
      <w:r w:rsidRPr="00EF42B5">
        <w:rPr>
          <w:rFonts w:asciiTheme="minorHAnsi" w:hAnsiTheme="minorHAnsi" w:cstheme="minorHAnsi"/>
          <w:i/>
          <w:color w:val="000000"/>
          <w:sz w:val="20"/>
          <w:szCs w:val="20"/>
        </w:rPr>
        <w:t>Cuadro de Mando Integral</w:t>
      </w:r>
      <w:r w:rsidRPr="00EF42B5">
        <w:rPr>
          <w:rFonts w:asciiTheme="minorHAnsi" w:hAnsiTheme="minorHAnsi" w:cstheme="minorHAnsi"/>
          <w:color w:val="000000"/>
          <w:sz w:val="20"/>
          <w:szCs w:val="20"/>
        </w:rPr>
        <w:t xml:space="preserve">? Alberto </w:t>
      </w:r>
      <w:proofErr w:type="spellStart"/>
      <w:r w:rsidRPr="00EF42B5">
        <w:rPr>
          <w:rFonts w:asciiTheme="minorHAnsi" w:hAnsiTheme="minorHAnsi" w:cstheme="minorHAnsi"/>
          <w:color w:val="000000"/>
          <w:sz w:val="20"/>
          <w:szCs w:val="20"/>
        </w:rPr>
        <w:t>Ballvé</w:t>
      </w:r>
      <w:proofErr w:type="spellEnd"/>
      <w:r w:rsidRPr="00EF42B5">
        <w:rPr>
          <w:rFonts w:asciiTheme="minorHAnsi" w:hAnsiTheme="minorHAnsi" w:cstheme="minorHAnsi"/>
          <w:color w:val="000000"/>
          <w:sz w:val="20"/>
          <w:szCs w:val="20"/>
        </w:rPr>
        <w:t xml:space="preserve"> (2007) ofrece una respuesta muy interesante: “El Cuadro de Mando Integral nació como herramienta gerencial con el objetivo básico de poder diagnosticar una situación y de efectuar su monitoreo permanente. Es una metodología para organizar información y acrecentar el valor” (p. 82).</w:t>
      </w:r>
    </w:p>
    <w:p w14:paraId="13D1171F" w14:textId="77777777" w:rsidR="00EF42B5" w:rsidRPr="00EF42B5" w:rsidRDefault="00EF42B5" w:rsidP="00EF42B5">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hAnsiTheme="minorHAnsi" w:cstheme="minorHAnsi"/>
          <w:color w:val="000000"/>
          <w:sz w:val="20"/>
          <w:szCs w:val="20"/>
        </w:rPr>
      </w:pPr>
    </w:p>
    <w:p w14:paraId="25380323" w14:textId="5770C92A" w:rsidR="008D0280" w:rsidRDefault="004A23E3" w:rsidP="00EF42B5">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heme="minorHAnsi" w:hAnsiTheme="minorHAnsi" w:cstheme="minorHAnsi"/>
          <w:color w:val="000000"/>
          <w:sz w:val="20"/>
          <w:szCs w:val="20"/>
        </w:rPr>
      </w:pPr>
      <w:r w:rsidRPr="00EF42B5">
        <w:rPr>
          <w:rFonts w:asciiTheme="minorHAnsi" w:hAnsiTheme="minorHAnsi" w:cstheme="minorHAnsi"/>
          <w:color w:val="000000"/>
          <w:sz w:val="20"/>
          <w:szCs w:val="20"/>
        </w:rPr>
        <w:t>En la actualidad, las organizaciones se desarrollan y compiten en entornos complejos; por lo tanto, su supervivencia está sujeta a la comprensión acabada de sus objetivos estratégicos y de los mecanismos que deben utilizar para lograrlos (</w:t>
      </w:r>
      <w:proofErr w:type="spellStart"/>
      <w:r w:rsidRPr="00EF42B5">
        <w:rPr>
          <w:rFonts w:asciiTheme="minorHAnsi" w:hAnsiTheme="minorHAnsi" w:cstheme="minorHAnsi"/>
          <w:color w:val="000000"/>
          <w:sz w:val="20"/>
          <w:szCs w:val="20"/>
        </w:rPr>
        <w:t>Ghiglione</w:t>
      </w:r>
      <w:proofErr w:type="spellEnd"/>
      <w:r w:rsidRPr="00EF42B5">
        <w:rPr>
          <w:rFonts w:asciiTheme="minorHAnsi" w:hAnsiTheme="minorHAnsi" w:cstheme="minorHAnsi"/>
          <w:color w:val="000000"/>
          <w:sz w:val="20"/>
          <w:szCs w:val="20"/>
        </w:rPr>
        <w:t>, 2015).</w:t>
      </w:r>
    </w:p>
    <w:p w14:paraId="1CE24659" w14:textId="77777777" w:rsidR="00EF42B5" w:rsidRPr="00EF42B5" w:rsidRDefault="00EF42B5" w:rsidP="00EF42B5">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heme="minorHAnsi" w:hAnsiTheme="minorHAnsi" w:cstheme="minorHAnsi"/>
          <w:color w:val="000000"/>
          <w:sz w:val="20"/>
          <w:szCs w:val="20"/>
        </w:rPr>
      </w:pPr>
    </w:p>
    <w:p w14:paraId="70DD0CB6" w14:textId="77777777" w:rsidR="008D0280" w:rsidRPr="00EF42B5" w:rsidRDefault="004A23E3" w:rsidP="00EF42B5">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heme="minorHAnsi" w:hAnsiTheme="minorHAnsi" w:cstheme="minorHAnsi"/>
          <w:color w:val="000000"/>
          <w:sz w:val="20"/>
          <w:szCs w:val="20"/>
        </w:rPr>
      </w:pPr>
      <w:r w:rsidRPr="00EF42B5">
        <w:rPr>
          <w:rFonts w:asciiTheme="minorHAnsi" w:hAnsiTheme="minorHAnsi" w:cstheme="minorHAnsi"/>
          <w:color w:val="000000"/>
          <w:sz w:val="20"/>
          <w:szCs w:val="20"/>
        </w:rPr>
        <w:t xml:space="preserve">Roberto Kaplan y David Norton, en su libro </w:t>
      </w:r>
      <w:r w:rsidRPr="00EF42B5">
        <w:rPr>
          <w:rFonts w:asciiTheme="minorHAnsi" w:hAnsiTheme="minorHAnsi" w:cstheme="minorHAnsi"/>
          <w:i/>
          <w:color w:val="000000"/>
          <w:sz w:val="20"/>
          <w:szCs w:val="20"/>
        </w:rPr>
        <w:t xml:space="preserve">Cuadro de Mando Integral. </w:t>
      </w:r>
      <w:proofErr w:type="spellStart"/>
      <w:r w:rsidRPr="00EF42B5">
        <w:rPr>
          <w:rFonts w:asciiTheme="minorHAnsi" w:hAnsiTheme="minorHAnsi" w:cstheme="minorHAnsi"/>
          <w:i/>
          <w:color w:val="000000"/>
          <w:sz w:val="20"/>
          <w:szCs w:val="20"/>
        </w:rPr>
        <w:t>The</w:t>
      </w:r>
      <w:proofErr w:type="spellEnd"/>
      <w:r w:rsidRPr="00EF42B5">
        <w:rPr>
          <w:rFonts w:asciiTheme="minorHAnsi" w:hAnsiTheme="minorHAnsi" w:cstheme="minorHAnsi"/>
          <w:i/>
          <w:color w:val="000000"/>
          <w:sz w:val="20"/>
          <w:szCs w:val="20"/>
        </w:rPr>
        <w:t xml:space="preserve"> </w:t>
      </w:r>
      <w:proofErr w:type="spellStart"/>
      <w:r w:rsidRPr="00EF42B5">
        <w:rPr>
          <w:rFonts w:asciiTheme="minorHAnsi" w:hAnsiTheme="minorHAnsi" w:cstheme="minorHAnsi"/>
          <w:i/>
          <w:color w:val="000000"/>
          <w:sz w:val="20"/>
          <w:szCs w:val="20"/>
        </w:rPr>
        <w:t>Balanced</w:t>
      </w:r>
      <w:proofErr w:type="spellEnd"/>
      <w:r w:rsidRPr="00EF42B5">
        <w:rPr>
          <w:rFonts w:asciiTheme="minorHAnsi" w:hAnsiTheme="minorHAnsi" w:cstheme="minorHAnsi"/>
          <w:i/>
          <w:color w:val="000000"/>
          <w:sz w:val="20"/>
          <w:szCs w:val="20"/>
        </w:rPr>
        <w:t xml:space="preserve"> </w:t>
      </w:r>
      <w:proofErr w:type="spellStart"/>
      <w:r w:rsidRPr="00EF42B5">
        <w:rPr>
          <w:rFonts w:asciiTheme="minorHAnsi" w:hAnsiTheme="minorHAnsi" w:cstheme="minorHAnsi"/>
          <w:i/>
          <w:color w:val="000000"/>
          <w:sz w:val="20"/>
          <w:szCs w:val="20"/>
        </w:rPr>
        <w:t>Scorecard</w:t>
      </w:r>
      <w:proofErr w:type="spellEnd"/>
      <w:r w:rsidRPr="00EF42B5">
        <w:rPr>
          <w:rFonts w:asciiTheme="minorHAnsi" w:hAnsiTheme="minorHAnsi" w:cstheme="minorHAnsi"/>
          <w:i/>
          <w:color w:val="000000"/>
          <w:sz w:val="20"/>
          <w:szCs w:val="20"/>
        </w:rPr>
        <w:t xml:space="preserve">, </w:t>
      </w:r>
      <w:r w:rsidRPr="00EF42B5">
        <w:rPr>
          <w:rFonts w:asciiTheme="minorHAnsi" w:hAnsiTheme="minorHAnsi" w:cstheme="minorHAnsi"/>
          <w:color w:val="000000"/>
          <w:sz w:val="20"/>
          <w:szCs w:val="20"/>
        </w:rPr>
        <w:t>de 1996, introducen por primera vez el concepto de</w:t>
      </w:r>
      <w:r w:rsidRPr="00EF42B5">
        <w:rPr>
          <w:rFonts w:asciiTheme="minorHAnsi" w:hAnsiTheme="minorHAnsi" w:cstheme="minorHAnsi"/>
          <w:i/>
          <w:color w:val="000000"/>
          <w:sz w:val="20"/>
          <w:szCs w:val="20"/>
        </w:rPr>
        <w:t xml:space="preserve"> </w:t>
      </w:r>
      <w:r w:rsidRPr="00EF42B5">
        <w:rPr>
          <w:rFonts w:asciiTheme="minorHAnsi" w:hAnsiTheme="minorHAnsi" w:cstheme="minorHAnsi"/>
          <w:color w:val="000000"/>
          <w:sz w:val="20"/>
          <w:szCs w:val="20"/>
        </w:rPr>
        <w:t>Tablero de Comando</w:t>
      </w:r>
      <w:r w:rsidRPr="00EF42B5">
        <w:rPr>
          <w:rFonts w:asciiTheme="minorHAnsi" w:hAnsiTheme="minorHAnsi" w:cstheme="minorHAnsi"/>
          <w:i/>
          <w:color w:val="000000"/>
          <w:sz w:val="20"/>
          <w:szCs w:val="20"/>
        </w:rPr>
        <w:t xml:space="preserve"> </w:t>
      </w:r>
      <w:r w:rsidRPr="00EF42B5">
        <w:rPr>
          <w:rFonts w:asciiTheme="minorHAnsi" w:hAnsiTheme="minorHAnsi" w:cstheme="minorHAnsi"/>
          <w:color w:val="000000"/>
          <w:sz w:val="20"/>
          <w:szCs w:val="20"/>
        </w:rPr>
        <w:t xml:space="preserve">como un sistema de gestión y planificación capaz de monitorear las evaluaciones en base a objetivos previamente establecidos. En efecto, esta herramienta proporciona a los directivos el conjunto de instrumentos que se necesita para navegar hacia un éxito competitivo futuro. Sostienen, además, que </w:t>
      </w:r>
    </w:p>
    <w:p w14:paraId="6B3D8864" w14:textId="77777777" w:rsidR="008D0280" w:rsidRPr="00EF42B5" w:rsidRDefault="008D0280" w:rsidP="00EF42B5">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heme="minorHAnsi" w:hAnsiTheme="minorHAnsi" w:cstheme="minorHAnsi"/>
          <w:color w:val="000000"/>
          <w:sz w:val="20"/>
          <w:szCs w:val="20"/>
        </w:rPr>
      </w:pPr>
    </w:p>
    <w:p w14:paraId="32A66249" w14:textId="77777777" w:rsidR="008D0280" w:rsidRPr="00EF42B5" w:rsidRDefault="004A23E3" w:rsidP="00EF42B5">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jc w:val="both"/>
        <w:rPr>
          <w:rFonts w:asciiTheme="minorHAnsi" w:hAnsiTheme="minorHAnsi" w:cstheme="minorHAnsi"/>
          <w:color w:val="000000"/>
          <w:sz w:val="20"/>
          <w:szCs w:val="20"/>
        </w:rPr>
      </w:pPr>
      <w:proofErr w:type="gramStart"/>
      <w:r w:rsidRPr="00EF42B5">
        <w:rPr>
          <w:rFonts w:asciiTheme="minorHAnsi" w:hAnsiTheme="minorHAnsi" w:cstheme="minorHAnsi"/>
          <w:color w:val="000000"/>
          <w:sz w:val="20"/>
          <w:szCs w:val="20"/>
        </w:rPr>
        <w:t>el</w:t>
      </w:r>
      <w:proofErr w:type="gramEnd"/>
      <w:r w:rsidRPr="00EF42B5">
        <w:rPr>
          <w:rFonts w:asciiTheme="minorHAnsi" w:hAnsiTheme="minorHAnsi" w:cstheme="minorHAnsi"/>
          <w:color w:val="000000"/>
          <w:sz w:val="20"/>
          <w:szCs w:val="20"/>
        </w:rPr>
        <w:t xml:space="preserve"> Tablero de comando traduce la estrategia y la misión de una organización en un amplio conjunto de medidas de actuación, que proporciona la estructura necesaria para un sistema de gestión y medición estratégica […] Permite tanto guiar el desempeño actual como amputar el desempeño futuro. Usa medidas en cuatro categorías –desempeño financiero, conocimiento del cliente, procesos internos y aprendizaje y crecimiento– para alinear iniciativas individuales, organizacionales </w:t>
      </w:r>
      <w:r w:rsidRPr="00EF42B5">
        <w:rPr>
          <w:rFonts w:asciiTheme="minorHAnsi" w:hAnsiTheme="minorHAnsi" w:cstheme="minorHAnsi"/>
          <w:color w:val="000000"/>
          <w:sz w:val="20"/>
          <w:szCs w:val="20"/>
        </w:rPr>
        <w:lastRenderedPageBreak/>
        <w:t xml:space="preserve">y </w:t>
      </w:r>
      <w:proofErr w:type="spellStart"/>
      <w:r w:rsidRPr="00EF42B5">
        <w:rPr>
          <w:rFonts w:asciiTheme="minorHAnsi" w:hAnsiTheme="minorHAnsi" w:cstheme="minorHAnsi"/>
          <w:color w:val="000000"/>
          <w:sz w:val="20"/>
          <w:szCs w:val="20"/>
        </w:rPr>
        <w:t>transdepartamentales</w:t>
      </w:r>
      <w:proofErr w:type="spellEnd"/>
      <w:r w:rsidRPr="00EF42B5">
        <w:rPr>
          <w:rFonts w:asciiTheme="minorHAnsi" w:hAnsiTheme="minorHAnsi" w:cstheme="minorHAnsi"/>
          <w:color w:val="000000"/>
          <w:sz w:val="20"/>
          <w:szCs w:val="20"/>
        </w:rPr>
        <w:t xml:space="preserve"> e identifica procesos enteramente nuevos para cumplir con objetivos. El BSC es un robusto sistema de aprendizaje para probar, obtener retroalimentación y actualizar la estrategia de la organización.</w:t>
      </w:r>
      <w:r w:rsidRPr="00EF42B5">
        <w:rPr>
          <w:rFonts w:asciiTheme="minorHAnsi" w:hAnsiTheme="minorHAnsi" w:cstheme="minorHAnsi"/>
          <w:i/>
          <w:color w:val="000000"/>
          <w:sz w:val="20"/>
          <w:szCs w:val="20"/>
        </w:rPr>
        <w:t xml:space="preserve"> </w:t>
      </w:r>
      <w:r w:rsidRPr="00EF42B5">
        <w:rPr>
          <w:rFonts w:asciiTheme="minorHAnsi" w:hAnsiTheme="minorHAnsi" w:cstheme="minorHAnsi"/>
          <w:color w:val="000000"/>
          <w:sz w:val="20"/>
          <w:szCs w:val="20"/>
        </w:rPr>
        <w:t xml:space="preserve">(Kaplan y Norton, 1996, p.76) </w:t>
      </w:r>
    </w:p>
    <w:p w14:paraId="34154B09" w14:textId="77777777" w:rsidR="008D0280" w:rsidRPr="00EF42B5" w:rsidRDefault="008D0280" w:rsidP="00EF42B5">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hAnsiTheme="minorHAnsi" w:cstheme="minorHAnsi"/>
          <w:color w:val="000000"/>
          <w:sz w:val="20"/>
          <w:szCs w:val="20"/>
        </w:rPr>
      </w:pPr>
    </w:p>
    <w:p w14:paraId="2FEC5ACF" w14:textId="2FB18200" w:rsidR="008D0280" w:rsidRDefault="004A23E3" w:rsidP="00EF42B5">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heme="minorHAnsi" w:hAnsiTheme="minorHAnsi" w:cstheme="minorHAnsi"/>
          <w:color w:val="000000"/>
          <w:sz w:val="20"/>
          <w:szCs w:val="20"/>
        </w:rPr>
      </w:pPr>
      <w:r w:rsidRPr="00EF42B5">
        <w:rPr>
          <w:rFonts w:asciiTheme="minorHAnsi" w:hAnsiTheme="minorHAnsi" w:cstheme="minorHAnsi"/>
          <w:color w:val="000000"/>
          <w:sz w:val="20"/>
          <w:szCs w:val="20"/>
        </w:rPr>
        <w:t>El Cuadro de Mando Integral trabaja dentro de cuatro perspectivas: la financiera, los clientes, los Procesos internos y Aprendizaje y crecimiento (</w:t>
      </w:r>
      <w:proofErr w:type="spellStart"/>
      <w:r w:rsidRPr="00EF42B5">
        <w:rPr>
          <w:rFonts w:asciiTheme="minorHAnsi" w:hAnsiTheme="minorHAnsi" w:cstheme="minorHAnsi"/>
          <w:color w:val="000000"/>
          <w:sz w:val="20"/>
          <w:szCs w:val="20"/>
        </w:rPr>
        <w:t>Altair</w:t>
      </w:r>
      <w:proofErr w:type="spellEnd"/>
      <w:r w:rsidRPr="00EF42B5">
        <w:rPr>
          <w:rFonts w:asciiTheme="minorHAnsi" w:hAnsiTheme="minorHAnsi" w:cstheme="minorHAnsi"/>
          <w:color w:val="000000"/>
          <w:sz w:val="20"/>
          <w:szCs w:val="20"/>
        </w:rPr>
        <w:t xml:space="preserve"> Consultores, 2005; </w:t>
      </w:r>
      <w:proofErr w:type="spellStart"/>
      <w:r w:rsidRPr="00EF42B5">
        <w:rPr>
          <w:rFonts w:asciiTheme="minorHAnsi" w:hAnsiTheme="minorHAnsi" w:cstheme="minorHAnsi"/>
          <w:color w:val="000000"/>
          <w:sz w:val="20"/>
          <w:szCs w:val="20"/>
        </w:rPr>
        <w:t>Baraybar</w:t>
      </w:r>
      <w:proofErr w:type="spellEnd"/>
      <w:r w:rsidRPr="00EF42B5">
        <w:rPr>
          <w:rFonts w:asciiTheme="minorHAnsi" w:hAnsiTheme="minorHAnsi" w:cstheme="minorHAnsi"/>
          <w:color w:val="000000"/>
          <w:sz w:val="20"/>
          <w:szCs w:val="20"/>
        </w:rPr>
        <w:t xml:space="preserve">, 2011; Kaplan y Norton, 1996), como se ve en la Figura 1. </w:t>
      </w:r>
    </w:p>
    <w:p w14:paraId="47D50048" w14:textId="77777777" w:rsidR="00EF42B5" w:rsidRPr="00EF42B5" w:rsidRDefault="00EF42B5" w:rsidP="00EF42B5">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heme="minorHAnsi" w:hAnsiTheme="minorHAnsi" w:cstheme="minorHAnsi"/>
          <w:color w:val="000000"/>
          <w:sz w:val="20"/>
          <w:szCs w:val="20"/>
        </w:rPr>
      </w:pPr>
    </w:p>
    <w:p w14:paraId="3E122CDD" w14:textId="77777777" w:rsidR="008D0280" w:rsidRPr="00EF42B5" w:rsidRDefault="004A23E3" w:rsidP="00EF42B5">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heme="minorHAnsi" w:hAnsiTheme="minorHAnsi" w:cstheme="minorHAnsi"/>
          <w:i/>
          <w:color w:val="000000"/>
          <w:sz w:val="20"/>
          <w:szCs w:val="20"/>
        </w:rPr>
      </w:pPr>
      <w:r w:rsidRPr="00EF42B5">
        <w:rPr>
          <w:rFonts w:asciiTheme="minorHAnsi" w:hAnsiTheme="minorHAnsi" w:cstheme="minorHAnsi"/>
          <w:b/>
          <w:color w:val="000000"/>
          <w:sz w:val="20"/>
          <w:szCs w:val="20"/>
        </w:rPr>
        <w:t>Figura 1</w:t>
      </w:r>
    </w:p>
    <w:p w14:paraId="5A4FE716" w14:textId="2B82FB8B" w:rsidR="008D0280" w:rsidRDefault="004A23E3" w:rsidP="00EF42B5">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heme="minorHAnsi" w:hAnsiTheme="minorHAnsi" w:cstheme="minorHAnsi"/>
          <w:i/>
          <w:color w:val="000000"/>
          <w:sz w:val="20"/>
          <w:szCs w:val="20"/>
        </w:rPr>
      </w:pPr>
      <w:r w:rsidRPr="00EF42B5">
        <w:rPr>
          <w:rFonts w:asciiTheme="minorHAnsi" w:hAnsiTheme="minorHAnsi" w:cstheme="minorHAnsi"/>
          <w:i/>
          <w:color w:val="000000"/>
          <w:sz w:val="20"/>
          <w:szCs w:val="20"/>
        </w:rPr>
        <w:t>Cuadro de Mando Integral</w:t>
      </w:r>
    </w:p>
    <w:p w14:paraId="5AF8DED5" w14:textId="77777777" w:rsidR="004A23E3" w:rsidRPr="00EF42B5" w:rsidRDefault="004A23E3" w:rsidP="00EF42B5">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heme="minorHAnsi" w:hAnsiTheme="minorHAnsi" w:cstheme="minorHAnsi"/>
          <w:i/>
          <w:color w:val="000000"/>
          <w:sz w:val="20"/>
          <w:szCs w:val="20"/>
        </w:rPr>
      </w:pPr>
    </w:p>
    <w:p w14:paraId="466117CD" w14:textId="77777777" w:rsidR="008D0280" w:rsidRPr="00EF42B5" w:rsidRDefault="004A23E3" w:rsidP="004A23E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heme="minorHAnsi" w:hAnsiTheme="minorHAnsi" w:cstheme="minorHAnsi"/>
          <w:i/>
          <w:color w:val="000000"/>
          <w:sz w:val="20"/>
          <w:szCs w:val="20"/>
        </w:rPr>
      </w:pPr>
      <w:r w:rsidRPr="00EF42B5">
        <w:rPr>
          <w:rFonts w:asciiTheme="minorHAnsi" w:eastAsia="Courier New" w:hAnsiTheme="minorHAnsi" w:cstheme="minorHAnsi"/>
          <w:i/>
          <w:noProof/>
          <w:color w:val="000000"/>
          <w:sz w:val="20"/>
          <w:szCs w:val="20"/>
          <w:lang w:eastAsia="es-AR"/>
        </w:rPr>
        <w:drawing>
          <wp:inline distT="0" distB="0" distL="0" distR="0" wp14:anchorId="32D1736F" wp14:editId="790E726D">
            <wp:extent cx="4647425" cy="2580025"/>
            <wp:effectExtent l="0" t="0" r="127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grayscl/>
                    </a:blip>
                    <a:srcRect/>
                    <a:stretch>
                      <a:fillRect/>
                    </a:stretch>
                  </pic:blipFill>
                  <pic:spPr>
                    <a:xfrm>
                      <a:off x="0" y="0"/>
                      <a:ext cx="4647425" cy="2580025"/>
                    </a:xfrm>
                    <a:prstGeom prst="rect">
                      <a:avLst/>
                    </a:prstGeom>
                    <a:ln/>
                  </pic:spPr>
                </pic:pic>
              </a:graphicData>
            </a:graphic>
          </wp:inline>
        </w:drawing>
      </w:r>
    </w:p>
    <w:p w14:paraId="15DAE107" w14:textId="5178B288" w:rsidR="008D0280" w:rsidRDefault="008D0280" w:rsidP="00EF42B5">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heme="minorHAnsi" w:hAnsiTheme="minorHAnsi" w:cstheme="minorHAnsi"/>
          <w:i/>
          <w:color w:val="000000"/>
          <w:sz w:val="20"/>
          <w:szCs w:val="20"/>
        </w:rPr>
      </w:pPr>
    </w:p>
    <w:p w14:paraId="473016A9" w14:textId="13CC8ACB" w:rsidR="00FD19A5" w:rsidRDefault="00FD19A5" w:rsidP="00FD19A5">
      <w:pPr>
        <w:jc w:val="both"/>
        <w:rPr>
          <w:sz w:val="20"/>
          <w:szCs w:val="20"/>
        </w:rPr>
      </w:pPr>
      <w:r w:rsidRPr="0016149D">
        <w:rPr>
          <w:sz w:val="20"/>
          <w:szCs w:val="20"/>
        </w:rPr>
        <w:t xml:space="preserve">Descripción Figura 1. </w:t>
      </w:r>
      <w:r w:rsidR="00D30EAA">
        <w:rPr>
          <w:sz w:val="20"/>
          <w:szCs w:val="20"/>
        </w:rPr>
        <w:t xml:space="preserve"> Cuadro de Mando Integral.</w:t>
      </w:r>
    </w:p>
    <w:p w14:paraId="1AE21A9A" w14:textId="5C182D69" w:rsidR="00FD19A5" w:rsidRPr="0016149D" w:rsidRDefault="00FD19A5" w:rsidP="00FD19A5">
      <w:pPr>
        <w:jc w:val="both"/>
        <w:rPr>
          <w:sz w:val="20"/>
          <w:szCs w:val="20"/>
        </w:rPr>
      </w:pPr>
      <w:r>
        <w:rPr>
          <w:sz w:val="20"/>
          <w:szCs w:val="20"/>
        </w:rPr>
        <w:t>Descripción. M</w:t>
      </w:r>
      <w:r w:rsidRPr="0016149D">
        <w:rPr>
          <w:sz w:val="20"/>
          <w:szCs w:val="20"/>
        </w:rPr>
        <w:t xml:space="preserve">ediante figuras geométricas </w:t>
      </w:r>
      <w:r>
        <w:rPr>
          <w:sz w:val="20"/>
          <w:szCs w:val="20"/>
        </w:rPr>
        <w:t>unidas por flechas se representa a la Estrategia en el centro de la ilustración con flechas que se direccionan a los cuatro cuadrantes donde si indica 1. La Perspectiva del Cliente, 2. La Perspectiva de Aprendizaje y Crecimiento, 3. La Perspectiva de Procesos Internos y por último 4. La Perspectiva Financiera. Las diferentes perspectivas están interconectadas con flechas en diversos sentidos. F</w:t>
      </w:r>
      <w:r w:rsidR="009641F9">
        <w:rPr>
          <w:sz w:val="20"/>
          <w:szCs w:val="20"/>
        </w:rPr>
        <w:t>in de descripción</w:t>
      </w:r>
      <w:r w:rsidRPr="0016149D">
        <w:rPr>
          <w:sz w:val="20"/>
          <w:szCs w:val="20"/>
        </w:rPr>
        <w:t xml:space="preserve"> figura</w:t>
      </w:r>
      <w:r w:rsidR="009641F9">
        <w:rPr>
          <w:sz w:val="20"/>
          <w:szCs w:val="20"/>
        </w:rPr>
        <w:t xml:space="preserve"> 1</w:t>
      </w:r>
      <w:r w:rsidRPr="0016149D">
        <w:rPr>
          <w:sz w:val="20"/>
          <w:szCs w:val="20"/>
        </w:rPr>
        <w:t>, vuelta al texto.</w:t>
      </w:r>
      <w:bookmarkStart w:id="1" w:name="_GoBack"/>
      <w:bookmarkEnd w:id="1"/>
    </w:p>
    <w:p w14:paraId="1E65E639" w14:textId="77777777" w:rsidR="00EF42B5" w:rsidRPr="00EF42B5" w:rsidRDefault="00EF42B5" w:rsidP="00EF42B5">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heme="minorHAnsi" w:hAnsiTheme="minorHAnsi" w:cstheme="minorHAnsi"/>
          <w:i/>
          <w:color w:val="000000"/>
          <w:sz w:val="20"/>
          <w:szCs w:val="20"/>
        </w:rPr>
      </w:pPr>
    </w:p>
    <w:p w14:paraId="08F77CF3" w14:textId="463DD1E1" w:rsidR="008D0280" w:rsidRDefault="004A23E3" w:rsidP="00EF42B5">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709"/>
        </w:tabs>
        <w:spacing w:after="0" w:line="240" w:lineRule="auto"/>
        <w:jc w:val="both"/>
        <w:rPr>
          <w:rFonts w:asciiTheme="minorHAnsi" w:hAnsiTheme="minorHAnsi" w:cstheme="minorHAnsi"/>
          <w:color w:val="000000"/>
          <w:sz w:val="20"/>
          <w:szCs w:val="20"/>
        </w:rPr>
      </w:pPr>
      <w:r w:rsidRPr="00EF42B5">
        <w:rPr>
          <w:rFonts w:asciiTheme="minorHAnsi" w:hAnsiTheme="minorHAnsi" w:cstheme="minorHAnsi"/>
          <w:i/>
          <w:color w:val="000000"/>
          <w:sz w:val="20"/>
          <w:szCs w:val="20"/>
        </w:rPr>
        <w:tab/>
        <w:t>Perspectiva financiera</w:t>
      </w:r>
      <w:r w:rsidRPr="00EF42B5">
        <w:rPr>
          <w:rFonts w:asciiTheme="minorHAnsi" w:hAnsiTheme="minorHAnsi" w:cstheme="minorHAnsi"/>
          <w:color w:val="000000"/>
          <w:sz w:val="20"/>
          <w:szCs w:val="20"/>
        </w:rPr>
        <w:t xml:space="preserve">: Describe el resultado tangible de la estrategia, cuyo fin último se traduce en el incremento del valor para el accionista. Aunque las medidas financieras no deben ser las únicas, tampoco deben despreciarse. La información precisa y actualizada sobre el desempeño siempre será una prioridad. A las medidas tradicionales financieras, tales como rentabilidad de la inversión, ingresos, crecimiento en las ventas, quizás se deba agregar otras relacionadas como riesgo y costo financiero. Las estrategias de la perspectiva financiera actúan bajo la premisa de mercado: para incrementar el valor del accionista, es necesario aumentar los ingresos, reducir los costos o la conjunción de ambas.  </w:t>
      </w:r>
    </w:p>
    <w:p w14:paraId="4CA96EEB" w14:textId="77777777" w:rsidR="00EF42B5" w:rsidRPr="00EF42B5" w:rsidRDefault="00EF42B5" w:rsidP="00EF42B5">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709"/>
        </w:tabs>
        <w:spacing w:after="0" w:line="240" w:lineRule="auto"/>
        <w:jc w:val="both"/>
        <w:rPr>
          <w:rFonts w:asciiTheme="minorHAnsi" w:hAnsiTheme="minorHAnsi" w:cstheme="minorHAnsi"/>
          <w:color w:val="000000"/>
          <w:sz w:val="20"/>
          <w:szCs w:val="20"/>
        </w:rPr>
      </w:pPr>
    </w:p>
    <w:p w14:paraId="17193221" w14:textId="77777777" w:rsidR="00EF42B5" w:rsidRDefault="004A23E3" w:rsidP="00EF42B5">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709"/>
        </w:tabs>
        <w:spacing w:after="0" w:line="240" w:lineRule="auto"/>
        <w:jc w:val="both"/>
        <w:rPr>
          <w:rFonts w:asciiTheme="minorHAnsi" w:hAnsiTheme="minorHAnsi" w:cstheme="minorHAnsi"/>
          <w:i/>
          <w:color w:val="000000"/>
          <w:sz w:val="20"/>
          <w:szCs w:val="20"/>
        </w:rPr>
      </w:pPr>
      <w:r w:rsidRPr="00EF42B5">
        <w:rPr>
          <w:rFonts w:asciiTheme="minorHAnsi" w:hAnsiTheme="minorHAnsi" w:cstheme="minorHAnsi"/>
          <w:i/>
          <w:color w:val="000000"/>
          <w:sz w:val="20"/>
          <w:szCs w:val="20"/>
        </w:rPr>
        <w:tab/>
        <w:t>Perspectiva del cliente</w:t>
      </w:r>
      <w:r w:rsidRPr="00EF42B5">
        <w:rPr>
          <w:rFonts w:asciiTheme="minorHAnsi" w:hAnsiTheme="minorHAnsi" w:cstheme="minorHAnsi"/>
          <w:color w:val="000000"/>
          <w:sz w:val="20"/>
          <w:szCs w:val="20"/>
        </w:rPr>
        <w:t xml:space="preserve">: Orienta la estrategia hacia el mercado, enfocándose en el cliente objetivo y en el segmento meta. ¿Cómo ve el cliente la organización y cómo se puede instrumentar su fidelización? Si no está satisfecho, aun cuando las finanzas estén marchando bien, es un fuerte indicio de inconvenientes futuros. Las características del producto (precio, calidad, atención, plazos de entrega, funcionalidad, asistencia técnica, etc.) definen las estrategias que mejor se adapten y respondan a las expectativas del cliente. </w:t>
      </w:r>
    </w:p>
    <w:p w14:paraId="549D8E9C" w14:textId="77777777" w:rsidR="00EF42B5" w:rsidRDefault="00EF42B5" w:rsidP="00EF42B5">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709"/>
        </w:tabs>
        <w:spacing w:after="0" w:line="240" w:lineRule="auto"/>
        <w:jc w:val="both"/>
        <w:rPr>
          <w:rFonts w:asciiTheme="minorHAnsi" w:hAnsiTheme="minorHAnsi" w:cstheme="minorHAnsi"/>
          <w:i/>
          <w:color w:val="000000"/>
          <w:sz w:val="20"/>
          <w:szCs w:val="20"/>
        </w:rPr>
      </w:pPr>
      <w:r>
        <w:rPr>
          <w:rFonts w:asciiTheme="minorHAnsi" w:hAnsiTheme="minorHAnsi" w:cstheme="minorHAnsi"/>
          <w:i/>
          <w:color w:val="000000"/>
          <w:sz w:val="20"/>
          <w:szCs w:val="20"/>
        </w:rPr>
        <w:tab/>
      </w:r>
    </w:p>
    <w:p w14:paraId="08E6FCEA" w14:textId="3B74C69F" w:rsidR="008D0280" w:rsidRPr="00EF42B5" w:rsidRDefault="00EF42B5" w:rsidP="00EF42B5">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709"/>
        </w:tabs>
        <w:spacing w:after="0" w:line="240" w:lineRule="auto"/>
        <w:jc w:val="both"/>
        <w:rPr>
          <w:rFonts w:asciiTheme="minorHAnsi" w:hAnsiTheme="minorHAnsi" w:cstheme="minorHAnsi"/>
          <w:i/>
          <w:color w:val="000000"/>
          <w:sz w:val="20"/>
          <w:szCs w:val="20"/>
        </w:rPr>
      </w:pPr>
      <w:r>
        <w:rPr>
          <w:rFonts w:asciiTheme="minorHAnsi" w:hAnsiTheme="minorHAnsi" w:cstheme="minorHAnsi"/>
          <w:i/>
          <w:color w:val="000000"/>
          <w:sz w:val="20"/>
          <w:szCs w:val="20"/>
        </w:rPr>
        <w:tab/>
      </w:r>
      <w:r w:rsidR="004A23E3" w:rsidRPr="00EF42B5">
        <w:rPr>
          <w:rFonts w:asciiTheme="minorHAnsi" w:hAnsiTheme="minorHAnsi" w:cstheme="minorHAnsi"/>
          <w:i/>
          <w:color w:val="000000"/>
          <w:sz w:val="20"/>
          <w:szCs w:val="20"/>
        </w:rPr>
        <w:t>Perspectiva de procesos internos:</w:t>
      </w:r>
      <w:r w:rsidR="004A23E3" w:rsidRPr="00EF42B5">
        <w:rPr>
          <w:rFonts w:asciiTheme="minorHAnsi" w:hAnsiTheme="minorHAnsi" w:cstheme="minorHAnsi"/>
          <w:color w:val="000000"/>
          <w:sz w:val="20"/>
          <w:szCs w:val="20"/>
        </w:rPr>
        <w:t xml:space="preserve"> Define cuáles son los procesos internos que la organización debe mejorar para lograr sus objetivos estratégicos. Toda empresa debe afrontar procesos de gestión operativa, vinculados a la producción y distribución; procesos de gestión de clientes, bajo criterios de </w:t>
      </w:r>
      <w:r w:rsidR="004A23E3" w:rsidRPr="00EF42B5">
        <w:rPr>
          <w:rFonts w:asciiTheme="minorHAnsi" w:hAnsiTheme="minorHAnsi" w:cstheme="minorHAnsi"/>
          <w:color w:val="000000"/>
          <w:sz w:val="20"/>
          <w:szCs w:val="20"/>
        </w:rPr>
        <w:lastRenderedPageBreak/>
        <w:t xml:space="preserve">captación, retención y fortalecimiento de las relaciones comerciales; procesos de innovación, que brinden mayor eficiencia en los procesos y mejoren las características funcionales de los productos y servicios; y, por último, procesos regulatorios y sociales, destinados a posicionar la imagen de la empresa, crear valor social y al cumplimiento de las normativas, tales como restricciones ambientales, de seguridad, de salubridad y de empleo. </w:t>
      </w:r>
    </w:p>
    <w:p w14:paraId="764BBFED" w14:textId="77777777" w:rsidR="00EF42B5" w:rsidRPr="00EF42B5" w:rsidRDefault="00EF42B5" w:rsidP="00EF42B5">
      <w:pPr>
        <w:keepNext/>
        <w:keepLines/>
        <w:pBdr>
          <w:top w:val="nil"/>
          <w:left w:val="nil"/>
          <w:bottom w:val="nil"/>
          <w:right w:val="nil"/>
          <w:between w:val="nil"/>
        </w:pBdr>
        <w:tabs>
          <w:tab w:val="left" w:pos="709"/>
        </w:tabs>
        <w:spacing w:after="0" w:line="240" w:lineRule="auto"/>
        <w:jc w:val="both"/>
        <w:rPr>
          <w:rFonts w:asciiTheme="minorHAnsi" w:hAnsiTheme="minorHAnsi" w:cstheme="minorHAnsi"/>
          <w:color w:val="000000"/>
          <w:sz w:val="20"/>
          <w:szCs w:val="20"/>
        </w:rPr>
      </w:pPr>
    </w:p>
    <w:p w14:paraId="2081447F" w14:textId="530EDA1D" w:rsidR="008D0280" w:rsidRDefault="004A23E3" w:rsidP="00EF42B5">
      <w:pPr>
        <w:keepNext/>
        <w:keepLines/>
        <w:pBdr>
          <w:top w:val="nil"/>
          <w:left w:val="nil"/>
          <w:bottom w:val="nil"/>
          <w:right w:val="nil"/>
          <w:between w:val="nil"/>
        </w:pBdr>
        <w:tabs>
          <w:tab w:val="left" w:pos="709"/>
        </w:tabs>
        <w:spacing w:after="0" w:line="240" w:lineRule="auto"/>
        <w:ind w:firstLine="709"/>
        <w:jc w:val="both"/>
        <w:rPr>
          <w:rFonts w:asciiTheme="minorHAnsi" w:hAnsiTheme="minorHAnsi" w:cstheme="minorHAnsi"/>
          <w:i/>
          <w:color w:val="000000"/>
          <w:sz w:val="20"/>
          <w:szCs w:val="20"/>
        </w:rPr>
      </w:pPr>
      <w:r w:rsidRPr="00EF42B5">
        <w:rPr>
          <w:rFonts w:asciiTheme="minorHAnsi" w:hAnsiTheme="minorHAnsi" w:cstheme="minorHAnsi"/>
          <w:i/>
          <w:color w:val="000000"/>
          <w:sz w:val="20"/>
          <w:szCs w:val="20"/>
        </w:rPr>
        <w:t>Perspectiva de aprendizaje y crecimiento</w:t>
      </w:r>
      <w:r w:rsidRPr="00EF42B5">
        <w:rPr>
          <w:rFonts w:asciiTheme="minorHAnsi" w:hAnsiTheme="minorHAnsi" w:cstheme="minorHAnsi"/>
          <w:color w:val="000000"/>
          <w:sz w:val="20"/>
          <w:szCs w:val="20"/>
        </w:rPr>
        <w:t xml:space="preserve">: ¿Cómo puede la organización seguir mejorando para crear valor futuro? Pone el foco en las competencias del capital humano, referidas al talento, las capacidades y el </w:t>
      </w:r>
      <w:r w:rsidRPr="00EF42B5">
        <w:rPr>
          <w:rFonts w:asciiTheme="minorHAnsi" w:hAnsiTheme="minorHAnsi" w:cstheme="minorHAnsi"/>
          <w:i/>
          <w:color w:val="000000"/>
          <w:sz w:val="20"/>
          <w:szCs w:val="20"/>
        </w:rPr>
        <w:t>know-how</w:t>
      </w:r>
      <w:r w:rsidRPr="00EF42B5">
        <w:rPr>
          <w:rFonts w:asciiTheme="minorHAnsi" w:hAnsiTheme="minorHAnsi" w:cstheme="minorHAnsi"/>
          <w:color w:val="000000"/>
          <w:sz w:val="20"/>
          <w:szCs w:val="20"/>
        </w:rPr>
        <w:t xml:space="preserve"> para la implementación de las acciones estratégicas; en los sistemas de información, en el sentido de que brindan el insumo principal para evaluar la gestión y verificar el efectivo cumplimiento de los objetivos estratégicos fijados previamente; y, finalmente, en el capital organizativo, particularmente en su cultura, los liderazgos, el trabajo en equipo y el alineamiento de las expectativas individuales con respecto a la misión de la empresa</w:t>
      </w:r>
      <w:r w:rsidRPr="00EF42B5">
        <w:rPr>
          <w:rFonts w:asciiTheme="minorHAnsi" w:hAnsiTheme="minorHAnsi" w:cstheme="minorHAnsi"/>
          <w:i/>
          <w:color w:val="000000"/>
          <w:sz w:val="20"/>
          <w:szCs w:val="20"/>
        </w:rPr>
        <w:t>.</w:t>
      </w:r>
    </w:p>
    <w:p w14:paraId="7BD25D7A" w14:textId="77777777" w:rsidR="00EF42B5" w:rsidRPr="00EF42B5" w:rsidRDefault="00EF42B5" w:rsidP="00EF42B5">
      <w:pPr>
        <w:keepNext/>
        <w:keepLines/>
        <w:pBdr>
          <w:top w:val="nil"/>
          <w:left w:val="nil"/>
          <w:bottom w:val="nil"/>
          <w:right w:val="nil"/>
          <w:between w:val="nil"/>
        </w:pBdr>
        <w:tabs>
          <w:tab w:val="left" w:pos="709"/>
        </w:tabs>
        <w:spacing w:after="0" w:line="240" w:lineRule="auto"/>
        <w:ind w:firstLine="709"/>
        <w:jc w:val="both"/>
        <w:rPr>
          <w:rFonts w:asciiTheme="minorHAnsi" w:hAnsiTheme="minorHAnsi" w:cstheme="minorHAnsi"/>
          <w:color w:val="000000"/>
          <w:sz w:val="20"/>
          <w:szCs w:val="20"/>
        </w:rPr>
      </w:pPr>
    </w:p>
    <w:p w14:paraId="1A2D8B6A" w14:textId="77777777" w:rsidR="008D0280" w:rsidRPr="00EF42B5" w:rsidRDefault="004A23E3" w:rsidP="00EF42B5">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heme="minorHAnsi" w:hAnsiTheme="minorHAnsi" w:cstheme="minorHAnsi"/>
          <w:color w:val="000000"/>
          <w:sz w:val="20"/>
          <w:szCs w:val="20"/>
        </w:rPr>
      </w:pPr>
      <w:r w:rsidRPr="00EF42B5">
        <w:rPr>
          <w:rFonts w:asciiTheme="minorHAnsi" w:hAnsiTheme="minorHAnsi" w:cstheme="minorHAnsi"/>
          <w:color w:val="000000"/>
          <w:sz w:val="20"/>
          <w:szCs w:val="20"/>
        </w:rPr>
        <w:t>La visión retrospectiva y prospectiva global de la organización permite que este sistema de gestión establezca pautas y mecanismos de mejora continua. Los objetivos principales del Tablero de Comando son los siguientes:</w:t>
      </w:r>
    </w:p>
    <w:p w14:paraId="604A1BBA" w14:textId="77777777" w:rsidR="008D0280" w:rsidRPr="00EF42B5" w:rsidRDefault="008D0280" w:rsidP="00EF42B5">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heme="minorHAnsi" w:hAnsiTheme="minorHAnsi" w:cstheme="minorHAnsi"/>
          <w:color w:val="000000"/>
          <w:sz w:val="20"/>
          <w:szCs w:val="20"/>
        </w:rPr>
      </w:pPr>
    </w:p>
    <w:p w14:paraId="16168D95" w14:textId="77777777" w:rsidR="008D0280" w:rsidRPr="00EF42B5" w:rsidRDefault="004A23E3" w:rsidP="00EF42B5">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jc w:val="both"/>
        <w:rPr>
          <w:rFonts w:asciiTheme="minorHAnsi" w:hAnsiTheme="minorHAnsi" w:cstheme="minorHAnsi"/>
          <w:color w:val="000000"/>
          <w:sz w:val="20"/>
          <w:szCs w:val="20"/>
        </w:rPr>
      </w:pPr>
      <w:r w:rsidRPr="00EF42B5">
        <w:rPr>
          <w:rFonts w:asciiTheme="minorHAnsi" w:hAnsiTheme="minorHAnsi" w:cstheme="minorHAnsi"/>
          <w:color w:val="000000"/>
          <w:sz w:val="20"/>
          <w:szCs w:val="20"/>
        </w:rPr>
        <w:t>Medir los avances en cumplimiento de la misión, la visión, los valores, los objetivos de la organización; alinear  los  indicadores  y  las metas  de  la dirección  con la cadena de valor  de  la organización y  los indicadores  y  metas de  las  áreas; integrar el plan estratégico con los planes operativos de las áreas; crear  Tableros  de  Control de  cada  área  y  alinearlos  con  el Tablero de Control de la dirección; identificar los diferentes tipos de indicadores  existentes  en  un  proceso  (indicadores de  entrada, de  salida, de eficiencia, de eficacia, de calidad, productividad, impacto y cultura); sincronizar  los objetivos y metas de  la  dirección general con las demás áreas; orientar los esfuerzos hacia la satisfacción de las necesidades de los usuarios, empleados, proveedores y la comunidad. (</w:t>
      </w:r>
      <w:proofErr w:type="spellStart"/>
      <w:r w:rsidRPr="00EF42B5">
        <w:rPr>
          <w:rFonts w:asciiTheme="minorHAnsi" w:hAnsiTheme="minorHAnsi" w:cstheme="minorHAnsi"/>
          <w:color w:val="000000"/>
          <w:sz w:val="20"/>
          <w:szCs w:val="20"/>
        </w:rPr>
        <w:t>Fleitman</w:t>
      </w:r>
      <w:proofErr w:type="spellEnd"/>
      <w:r w:rsidRPr="00EF42B5">
        <w:rPr>
          <w:rFonts w:asciiTheme="minorHAnsi" w:hAnsiTheme="minorHAnsi" w:cstheme="minorHAnsi"/>
          <w:color w:val="000000"/>
          <w:sz w:val="20"/>
          <w:szCs w:val="20"/>
        </w:rPr>
        <w:t>, 2008, p. 273)</w:t>
      </w:r>
    </w:p>
    <w:p w14:paraId="7A424CE4" w14:textId="77777777" w:rsidR="008D0280" w:rsidRPr="00EF42B5" w:rsidRDefault="008D0280" w:rsidP="00EF42B5">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hAnsiTheme="minorHAnsi" w:cstheme="minorHAnsi"/>
          <w:color w:val="000000"/>
          <w:sz w:val="20"/>
          <w:szCs w:val="20"/>
        </w:rPr>
      </w:pPr>
    </w:p>
    <w:p w14:paraId="5C8CB6C5" w14:textId="77777777" w:rsidR="008D0280" w:rsidRPr="00EF42B5" w:rsidRDefault="004A23E3" w:rsidP="00EF42B5">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heme="minorHAnsi" w:hAnsiTheme="minorHAnsi" w:cstheme="minorHAnsi"/>
          <w:color w:val="000000"/>
          <w:sz w:val="20"/>
          <w:szCs w:val="20"/>
        </w:rPr>
      </w:pPr>
      <w:r w:rsidRPr="00EF42B5">
        <w:rPr>
          <w:rFonts w:asciiTheme="minorHAnsi" w:hAnsiTheme="minorHAnsi" w:cstheme="minorHAnsi"/>
          <w:color w:val="000000"/>
          <w:sz w:val="20"/>
          <w:szCs w:val="20"/>
        </w:rPr>
        <w:t xml:space="preserve">Es necesario establecer en forma correcta y objetiva los indicadores de gestión, ya que es la clave para el éxito o fracaso de la implementación del sistema de evaluación de desempeño y mejora continua. A su vez, la formulación de los indicadores debe tener en cuenta ciertas consideraciones. Esto es, hay que definir el objetivo que se desea alcanzar y, asimismo, debe estar enfocado, preferentemente, hacia la medición de los resultados en función del objetivo definido deseado. Desde esta mirada, los indicadores deben reunir ciertos requisitos, según nos precisa el mismo autor; son los siguientes: </w:t>
      </w:r>
    </w:p>
    <w:p w14:paraId="1D4C8BCB" w14:textId="77777777" w:rsidR="008D0280" w:rsidRPr="00EF42B5" w:rsidRDefault="008D0280" w:rsidP="00EF42B5">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heme="minorHAnsi" w:hAnsiTheme="minorHAnsi" w:cstheme="minorHAnsi"/>
          <w:color w:val="000000"/>
          <w:sz w:val="20"/>
          <w:szCs w:val="20"/>
        </w:rPr>
      </w:pPr>
    </w:p>
    <w:p w14:paraId="1C9BB7A0" w14:textId="77777777" w:rsidR="008D0280" w:rsidRPr="00EF42B5" w:rsidRDefault="004A23E3" w:rsidP="00EF42B5">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jc w:val="both"/>
        <w:rPr>
          <w:rFonts w:asciiTheme="minorHAnsi" w:hAnsiTheme="minorHAnsi" w:cstheme="minorHAnsi"/>
          <w:color w:val="000000"/>
          <w:sz w:val="20"/>
          <w:szCs w:val="20"/>
        </w:rPr>
      </w:pPr>
      <w:r w:rsidRPr="00EF42B5">
        <w:rPr>
          <w:rFonts w:asciiTheme="minorHAnsi" w:hAnsiTheme="minorHAnsi" w:cstheme="minorHAnsi"/>
          <w:color w:val="000000"/>
          <w:sz w:val="20"/>
          <w:szCs w:val="20"/>
        </w:rPr>
        <w:t>Objetividad en los indicadores cualitativos; precisión en los indicadores cuantitativos; compatibilidad con otros indicadores; relevancia para la toma de decisiones; deben ser lógicos, factibles y fáciles de interpretar; ser oportunos, confiables y verificables; aceptados por los responsables, directivos y/o funcionarios. (</w:t>
      </w:r>
      <w:proofErr w:type="spellStart"/>
      <w:r w:rsidRPr="00EF42B5">
        <w:rPr>
          <w:rFonts w:asciiTheme="minorHAnsi" w:hAnsiTheme="minorHAnsi" w:cstheme="minorHAnsi"/>
          <w:color w:val="000000"/>
          <w:sz w:val="20"/>
          <w:szCs w:val="20"/>
        </w:rPr>
        <w:t>Fleitman</w:t>
      </w:r>
      <w:proofErr w:type="spellEnd"/>
      <w:r w:rsidRPr="00EF42B5">
        <w:rPr>
          <w:rFonts w:asciiTheme="minorHAnsi" w:hAnsiTheme="minorHAnsi" w:cstheme="minorHAnsi"/>
          <w:color w:val="000000"/>
          <w:sz w:val="20"/>
          <w:szCs w:val="20"/>
        </w:rPr>
        <w:t xml:space="preserve">, 2008, pp. 208-209) </w:t>
      </w:r>
    </w:p>
    <w:p w14:paraId="1CE0368A" w14:textId="77777777" w:rsidR="008D0280" w:rsidRPr="00EF42B5" w:rsidRDefault="008D0280" w:rsidP="00EF42B5">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jc w:val="both"/>
        <w:rPr>
          <w:rFonts w:asciiTheme="minorHAnsi" w:hAnsiTheme="minorHAnsi" w:cstheme="minorHAnsi"/>
          <w:color w:val="000000"/>
          <w:sz w:val="20"/>
          <w:szCs w:val="20"/>
        </w:rPr>
      </w:pPr>
    </w:p>
    <w:p w14:paraId="60991590" w14:textId="09F49456" w:rsidR="008D0280" w:rsidRDefault="004A23E3" w:rsidP="00EF42B5">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heme="minorHAnsi" w:hAnsiTheme="minorHAnsi" w:cstheme="minorHAnsi"/>
          <w:color w:val="000000"/>
          <w:sz w:val="20"/>
          <w:szCs w:val="20"/>
        </w:rPr>
      </w:pPr>
      <w:r w:rsidRPr="00EF42B5">
        <w:rPr>
          <w:rFonts w:asciiTheme="minorHAnsi" w:hAnsiTheme="minorHAnsi" w:cstheme="minorHAnsi"/>
          <w:color w:val="000000"/>
          <w:sz w:val="20"/>
          <w:szCs w:val="20"/>
        </w:rPr>
        <w:t>A su vez, en la formulación de los indicadores se deben tener en cuenta ciertas pautas y atender algunas consideraciones tal como “estar acotados mediante un proceso participativo, formularse mediante métodos deductivos inductivos e implicar la validación a través del establecimiento de normas de comportamiento de lo que se está midiendo” (</w:t>
      </w:r>
      <w:proofErr w:type="spellStart"/>
      <w:r w:rsidRPr="00EF42B5">
        <w:rPr>
          <w:rFonts w:asciiTheme="minorHAnsi" w:hAnsiTheme="minorHAnsi" w:cstheme="minorHAnsi"/>
          <w:color w:val="000000"/>
          <w:sz w:val="20"/>
          <w:szCs w:val="20"/>
        </w:rPr>
        <w:t>Fleitman</w:t>
      </w:r>
      <w:proofErr w:type="spellEnd"/>
      <w:r w:rsidRPr="00EF42B5">
        <w:rPr>
          <w:rFonts w:asciiTheme="minorHAnsi" w:hAnsiTheme="minorHAnsi" w:cstheme="minorHAnsi"/>
          <w:color w:val="000000"/>
          <w:sz w:val="20"/>
          <w:szCs w:val="20"/>
        </w:rPr>
        <w:t xml:space="preserve">, 2008, p. 209). </w:t>
      </w:r>
    </w:p>
    <w:p w14:paraId="06EB612A" w14:textId="77777777" w:rsidR="00EF42B5" w:rsidRPr="00EF42B5" w:rsidRDefault="00EF42B5" w:rsidP="00EF42B5">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heme="minorHAnsi" w:hAnsiTheme="minorHAnsi" w:cstheme="minorHAnsi"/>
          <w:color w:val="000000"/>
          <w:sz w:val="20"/>
          <w:szCs w:val="20"/>
        </w:rPr>
      </w:pPr>
    </w:p>
    <w:p w14:paraId="6BDD0F73" w14:textId="0EFB4B66" w:rsidR="008D0280" w:rsidRDefault="004A23E3" w:rsidP="00EF42B5">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heme="minorHAnsi" w:hAnsiTheme="minorHAnsi" w:cstheme="minorHAnsi"/>
          <w:color w:val="000000"/>
          <w:sz w:val="20"/>
          <w:szCs w:val="20"/>
        </w:rPr>
      </w:pPr>
      <w:r w:rsidRPr="00EF42B5">
        <w:rPr>
          <w:rFonts w:asciiTheme="minorHAnsi" w:hAnsiTheme="minorHAnsi" w:cstheme="minorHAnsi"/>
          <w:color w:val="000000"/>
          <w:sz w:val="20"/>
          <w:szCs w:val="20"/>
        </w:rPr>
        <w:t>Cabe aclarar que los indicadores son una selección, dentro de múltiples factores a tener en cuenta. La metodología de análisis permite implementar la creación de innumerables indicadores de gestión y monitoreo, como así también realizar consultas por parte del usuario de la aplicación; por lo tanto, se toma un recorte con el objetivo de argumentar las hipótesis planteadas. En una etapa inicial del proceso de implementación de la herramienta Tablero de Comando, se recomienda realizar un análisis situacional a través de la matriz FODA, de modo tal que se puedan identificar las fortalezas, oportunidades, debilidades y amenazas de la organización, permitiendo establecer los objetivos estratégico con mayor claridad (</w:t>
      </w:r>
      <w:proofErr w:type="spellStart"/>
      <w:r w:rsidRPr="00EF42B5">
        <w:rPr>
          <w:rFonts w:asciiTheme="minorHAnsi" w:hAnsiTheme="minorHAnsi" w:cstheme="minorHAnsi"/>
          <w:color w:val="000000"/>
          <w:sz w:val="20"/>
          <w:szCs w:val="20"/>
        </w:rPr>
        <w:t>Ghiglione</w:t>
      </w:r>
      <w:proofErr w:type="spellEnd"/>
      <w:r w:rsidRPr="00EF42B5">
        <w:rPr>
          <w:rFonts w:asciiTheme="minorHAnsi" w:hAnsiTheme="minorHAnsi" w:cstheme="minorHAnsi"/>
          <w:color w:val="000000"/>
          <w:sz w:val="20"/>
          <w:szCs w:val="20"/>
        </w:rPr>
        <w:t xml:space="preserve">, 2015). </w:t>
      </w:r>
    </w:p>
    <w:p w14:paraId="598831F0" w14:textId="77777777" w:rsidR="00EF42B5" w:rsidRPr="00EF42B5" w:rsidRDefault="00EF42B5" w:rsidP="00EF42B5">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heme="minorHAnsi" w:hAnsiTheme="minorHAnsi" w:cstheme="minorHAnsi"/>
          <w:color w:val="000000"/>
          <w:sz w:val="20"/>
          <w:szCs w:val="20"/>
        </w:rPr>
      </w:pPr>
    </w:p>
    <w:p w14:paraId="1AA69C53" w14:textId="58F0B2A1" w:rsidR="008D0280" w:rsidRDefault="004A23E3" w:rsidP="00EF42B5">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heme="minorHAnsi" w:hAnsiTheme="minorHAnsi" w:cstheme="minorHAnsi"/>
          <w:color w:val="000000"/>
          <w:sz w:val="20"/>
          <w:szCs w:val="20"/>
        </w:rPr>
      </w:pPr>
      <w:r w:rsidRPr="00EF42B5">
        <w:rPr>
          <w:rFonts w:asciiTheme="minorHAnsi" w:hAnsiTheme="minorHAnsi" w:cstheme="minorHAnsi"/>
          <w:color w:val="000000"/>
          <w:sz w:val="20"/>
          <w:szCs w:val="20"/>
        </w:rPr>
        <w:t>La utilización de los distintos tipos de Tableros de Comando corresponde a las necesidades y características particulares de cada organización. Ellos son:</w:t>
      </w:r>
    </w:p>
    <w:p w14:paraId="2501C0A7" w14:textId="77777777" w:rsidR="00EF42B5" w:rsidRPr="00EF42B5" w:rsidRDefault="00EF42B5" w:rsidP="00EF42B5">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heme="minorHAnsi" w:hAnsiTheme="minorHAnsi" w:cstheme="minorHAnsi"/>
          <w:color w:val="000000"/>
          <w:sz w:val="20"/>
          <w:szCs w:val="20"/>
        </w:rPr>
      </w:pPr>
    </w:p>
    <w:p w14:paraId="04C7E536" w14:textId="77777777" w:rsidR="008D0280" w:rsidRPr="00EF42B5" w:rsidRDefault="004A23E3" w:rsidP="00EF42B5">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709"/>
        </w:tabs>
        <w:spacing w:after="0" w:line="240" w:lineRule="auto"/>
        <w:jc w:val="both"/>
        <w:rPr>
          <w:rFonts w:asciiTheme="minorHAnsi" w:hAnsiTheme="minorHAnsi" w:cstheme="minorHAnsi"/>
          <w:color w:val="000000"/>
          <w:sz w:val="20"/>
          <w:szCs w:val="20"/>
        </w:rPr>
      </w:pPr>
      <w:r w:rsidRPr="00EF42B5">
        <w:rPr>
          <w:rFonts w:asciiTheme="minorHAnsi" w:hAnsiTheme="minorHAnsi" w:cstheme="minorHAnsi"/>
          <w:i/>
          <w:color w:val="000000"/>
          <w:sz w:val="20"/>
          <w:szCs w:val="20"/>
        </w:rPr>
        <w:tab/>
        <w:t>Tablero de Control Operativo</w:t>
      </w:r>
      <w:r w:rsidRPr="00EF42B5">
        <w:rPr>
          <w:rFonts w:asciiTheme="minorHAnsi" w:hAnsiTheme="minorHAnsi" w:cstheme="minorHAnsi"/>
          <w:color w:val="000000"/>
          <w:sz w:val="20"/>
          <w:szCs w:val="20"/>
        </w:rPr>
        <w:t>: Es aquel que permite hacer un seguimiento, al menos diario, del estado de situación de un sector o proceso de la empresa, para poder tomar a tiempo las medidas correctivas necesarias. El Tablero debe proveer la información que se necesita para entrar en acción y tomar decisiones operativas en áreas como las finanzas, compras, ventas, precios, producción, logística, etc.</w:t>
      </w:r>
    </w:p>
    <w:p w14:paraId="03B0FFEB" w14:textId="4F488B4D" w:rsidR="008D0280" w:rsidRDefault="004A23E3" w:rsidP="00EF42B5">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709"/>
        </w:tabs>
        <w:spacing w:after="0" w:line="240" w:lineRule="auto"/>
        <w:jc w:val="both"/>
        <w:rPr>
          <w:rFonts w:asciiTheme="minorHAnsi" w:hAnsiTheme="minorHAnsi" w:cstheme="minorHAnsi"/>
          <w:color w:val="000000"/>
          <w:sz w:val="20"/>
          <w:szCs w:val="20"/>
        </w:rPr>
      </w:pPr>
      <w:r w:rsidRPr="00EF42B5">
        <w:rPr>
          <w:rFonts w:asciiTheme="minorHAnsi" w:hAnsiTheme="minorHAnsi" w:cstheme="minorHAnsi"/>
          <w:i/>
          <w:color w:val="000000"/>
          <w:sz w:val="20"/>
          <w:szCs w:val="20"/>
        </w:rPr>
        <w:tab/>
        <w:t>Tablero de Control Directivo</w:t>
      </w:r>
      <w:r w:rsidRPr="00EF42B5">
        <w:rPr>
          <w:rFonts w:asciiTheme="minorHAnsi" w:hAnsiTheme="minorHAnsi" w:cstheme="minorHAnsi"/>
          <w:color w:val="000000"/>
          <w:sz w:val="20"/>
          <w:szCs w:val="20"/>
        </w:rPr>
        <w:t>: Es aquel que permite monitorear los resultados de la empresa en su conjunto y hacer foco en los diferentes temas claves en que puede segmentarse. Está orientado al seguimiento de indicadores de los resultados internos de la empresa en su conjunto y en el corto plazo. Su monitoreo se realiza periódicamente, entendiendo el concepto como lapsos de tiempo relativamente homogéneos (días, semanas, meses). Puede incluir indicadores de todos los sectores para los directivos claves o sectorizado para un directivo.</w:t>
      </w:r>
    </w:p>
    <w:p w14:paraId="2D14F180" w14:textId="77777777" w:rsidR="00EF42B5" w:rsidRPr="00EF42B5" w:rsidRDefault="00EF42B5" w:rsidP="00EF42B5">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709"/>
        </w:tabs>
        <w:spacing w:after="0" w:line="240" w:lineRule="auto"/>
        <w:jc w:val="both"/>
        <w:rPr>
          <w:rFonts w:asciiTheme="minorHAnsi" w:hAnsiTheme="minorHAnsi" w:cstheme="minorHAnsi"/>
          <w:color w:val="000000"/>
          <w:sz w:val="20"/>
          <w:szCs w:val="20"/>
        </w:rPr>
      </w:pPr>
    </w:p>
    <w:p w14:paraId="38568FCC" w14:textId="17817DE4" w:rsidR="008D0280" w:rsidRDefault="004A23E3" w:rsidP="00EF42B5">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709"/>
        </w:tabs>
        <w:spacing w:after="0" w:line="240" w:lineRule="auto"/>
        <w:jc w:val="both"/>
        <w:rPr>
          <w:rFonts w:asciiTheme="minorHAnsi" w:hAnsiTheme="minorHAnsi" w:cstheme="minorHAnsi"/>
          <w:color w:val="000000"/>
          <w:sz w:val="20"/>
          <w:szCs w:val="20"/>
        </w:rPr>
      </w:pPr>
      <w:r w:rsidRPr="00EF42B5">
        <w:rPr>
          <w:rFonts w:asciiTheme="minorHAnsi" w:hAnsiTheme="minorHAnsi" w:cstheme="minorHAnsi"/>
          <w:i/>
          <w:color w:val="000000"/>
          <w:sz w:val="20"/>
          <w:szCs w:val="20"/>
        </w:rPr>
        <w:tab/>
        <w:t>Tablero de Control Estratégico</w:t>
      </w:r>
      <w:r w:rsidRPr="00EF42B5">
        <w:rPr>
          <w:rFonts w:asciiTheme="minorHAnsi" w:hAnsiTheme="minorHAnsi" w:cstheme="minorHAnsi"/>
          <w:color w:val="000000"/>
          <w:sz w:val="20"/>
          <w:szCs w:val="20"/>
        </w:rPr>
        <w:t>: Nos brinda la información interna y externa necesaria para conocer la situación y evitar llevarnos importantes sorpresas desagradables respecto al posicionamiento estratégico y a largo plazo de la empresa.</w:t>
      </w:r>
    </w:p>
    <w:p w14:paraId="5DC744C1" w14:textId="77777777" w:rsidR="00EF42B5" w:rsidRPr="00EF42B5" w:rsidRDefault="00EF42B5" w:rsidP="00EF42B5">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709"/>
        </w:tabs>
        <w:spacing w:after="0" w:line="240" w:lineRule="auto"/>
        <w:jc w:val="both"/>
        <w:rPr>
          <w:rFonts w:asciiTheme="minorHAnsi" w:hAnsiTheme="minorHAnsi" w:cstheme="minorHAnsi"/>
          <w:color w:val="000000"/>
          <w:sz w:val="20"/>
          <w:szCs w:val="20"/>
        </w:rPr>
      </w:pPr>
    </w:p>
    <w:p w14:paraId="6BD74C24" w14:textId="40A59168" w:rsidR="008D0280" w:rsidRDefault="004A23E3" w:rsidP="00EF42B5">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709"/>
        </w:tabs>
        <w:spacing w:after="0" w:line="240" w:lineRule="auto"/>
        <w:jc w:val="both"/>
        <w:rPr>
          <w:rFonts w:asciiTheme="minorHAnsi" w:hAnsiTheme="minorHAnsi" w:cstheme="minorHAnsi"/>
          <w:color w:val="000000"/>
          <w:sz w:val="20"/>
          <w:szCs w:val="20"/>
        </w:rPr>
      </w:pPr>
      <w:r w:rsidRPr="00EF42B5">
        <w:rPr>
          <w:rFonts w:asciiTheme="minorHAnsi" w:hAnsiTheme="minorHAnsi" w:cstheme="minorHAnsi"/>
          <w:i/>
          <w:color w:val="000000"/>
          <w:sz w:val="20"/>
          <w:szCs w:val="20"/>
        </w:rPr>
        <w:tab/>
        <w:t>Tablero de Control Integral</w:t>
      </w:r>
      <w:r w:rsidRPr="00EF42B5">
        <w:rPr>
          <w:rFonts w:asciiTheme="minorHAnsi" w:hAnsiTheme="minorHAnsi" w:cstheme="minorHAnsi"/>
          <w:color w:val="000000"/>
          <w:sz w:val="20"/>
          <w:szCs w:val="20"/>
        </w:rPr>
        <w:t>: Ofrece información relevante para que la alta dirección pueda conocer la situación integral. Engloba a las tres perspectivas anteriores.</w:t>
      </w:r>
    </w:p>
    <w:p w14:paraId="2AC80ED6" w14:textId="77777777" w:rsidR="00EF42B5" w:rsidRPr="00EF42B5" w:rsidRDefault="00EF42B5" w:rsidP="00EF42B5">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709"/>
        </w:tabs>
        <w:spacing w:after="0" w:line="240" w:lineRule="auto"/>
        <w:jc w:val="both"/>
        <w:rPr>
          <w:rFonts w:asciiTheme="minorHAnsi" w:hAnsiTheme="minorHAnsi" w:cstheme="minorHAnsi"/>
          <w:color w:val="000000"/>
          <w:sz w:val="20"/>
          <w:szCs w:val="20"/>
        </w:rPr>
      </w:pPr>
    </w:p>
    <w:p w14:paraId="3D90E269" w14:textId="57EDE93A" w:rsidR="008D0280" w:rsidRDefault="004A23E3" w:rsidP="00EF42B5">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heme="minorHAnsi" w:hAnsiTheme="minorHAnsi" w:cstheme="minorHAnsi"/>
          <w:color w:val="000000"/>
          <w:sz w:val="20"/>
          <w:szCs w:val="20"/>
        </w:rPr>
      </w:pPr>
      <w:r w:rsidRPr="00EF42B5">
        <w:rPr>
          <w:rFonts w:asciiTheme="minorHAnsi" w:hAnsiTheme="minorHAnsi" w:cstheme="minorHAnsi"/>
          <w:color w:val="000000"/>
          <w:sz w:val="20"/>
          <w:szCs w:val="20"/>
        </w:rPr>
        <w:t xml:space="preserve">Para Kaplan y Norton (2001), las organizaciones enfocadas en la estrategia rompen barreras. Los ejecutivos sustituyen las estructuras de los informes formales por temas y prioridades estratégicas que posibilitan la difusión de un mensaje consistente y la adopción de un conjunto de prioridades coherentes en todas las diferentes unidades organizacionales dispersas. </w:t>
      </w:r>
    </w:p>
    <w:p w14:paraId="5D194CD5" w14:textId="77777777" w:rsidR="00EF42B5" w:rsidRPr="00EF42B5" w:rsidRDefault="00EF42B5" w:rsidP="00EF42B5">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heme="minorHAnsi" w:hAnsiTheme="minorHAnsi" w:cstheme="minorHAnsi"/>
          <w:color w:val="000000"/>
          <w:sz w:val="20"/>
          <w:szCs w:val="20"/>
        </w:rPr>
      </w:pPr>
    </w:p>
    <w:p w14:paraId="7A4AAE2F" w14:textId="77777777" w:rsidR="008D0280" w:rsidRPr="00EF42B5" w:rsidRDefault="004A23E3" w:rsidP="00EF42B5">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heme="minorHAnsi" w:hAnsiTheme="minorHAnsi" w:cstheme="minorHAnsi"/>
          <w:color w:val="000000"/>
          <w:sz w:val="20"/>
          <w:szCs w:val="20"/>
        </w:rPr>
      </w:pPr>
      <w:r w:rsidRPr="00EF42B5">
        <w:rPr>
          <w:rFonts w:asciiTheme="minorHAnsi" w:hAnsiTheme="minorHAnsi" w:cstheme="minorHAnsi"/>
          <w:color w:val="000000"/>
          <w:sz w:val="20"/>
          <w:szCs w:val="20"/>
        </w:rPr>
        <w:t>El mecanismo de aplicación de los distintos Tableros de Comando encuentra fundamentos en el método cascada, en cuanto requiere la implementación en forma descendente en todos y cada uno de los estratos de la organización. Esto permite alinear la estrategia corporativa con los niveles o departamentos inferiores, comunicarla y comprometer a todos los empleados, mejorar la coordinación entre los objetivos individuales y los empresariales, entre otros. Que todos los integrantes de la empresa, institución y organización conozcan las estrategias y sean actores activos en su implementación representa la ventaja competitiva más relevante y un factor invaluable (</w:t>
      </w:r>
      <w:proofErr w:type="spellStart"/>
      <w:r w:rsidRPr="00EF42B5">
        <w:rPr>
          <w:rFonts w:asciiTheme="minorHAnsi" w:hAnsiTheme="minorHAnsi" w:cstheme="minorHAnsi"/>
          <w:color w:val="000000"/>
          <w:sz w:val="20"/>
          <w:szCs w:val="20"/>
        </w:rPr>
        <w:t>Altair</w:t>
      </w:r>
      <w:proofErr w:type="spellEnd"/>
      <w:r w:rsidRPr="00EF42B5">
        <w:rPr>
          <w:rFonts w:asciiTheme="minorHAnsi" w:hAnsiTheme="minorHAnsi" w:cstheme="minorHAnsi"/>
          <w:color w:val="000000"/>
          <w:sz w:val="20"/>
          <w:szCs w:val="20"/>
        </w:rPr>
        <w:t xml:space="preserve"> Consultores, 2005; Kaplan y Norton, 2004; </w:t>
      </w:r>
      <w:proofErr w:type="spellStart"/>
      <w:r w:rsidRPr="00EF42B5">
        <w:rPr>
          <w:rFonts w:asciiTheme="minorHAnsi" w:hAnsiTheme="minorHAnsi" w:cstheme="minorHAnsi"/>
          <w:color w:val="000000"/>
          <w:sz w:val="20"/>
          <w:szCs w:val="20"/>
        </w:rPr>
        <w:t>Niven</w:t>
      </w:r>
      <w:proofErr w:type="spellEnd"/>
      <w:r w:rsidRPr="00EF42B5">
        <w:rPr>
          <w:rFonts w:asciiTheme="minorHAnsi" w:hAnsiTheme="minorHAnsi" w:cstheme="minorHAnsi"/>
          <w:color w:val="000000"/>
          <w:sz w:val="20"/>
          <w:szCs w:val="20"/>
        </w:rPr>
        <w:t xml:space="preserve">, 2004). </w:t>
      </w:r>
    </w:p>
    <w:p w14:paraId="1E092B53" w14:textId="77777777" w:rsidR="008D0280" w:rsidRPr="00EF42B5" w:rsidRDefault="008D0280" w:rsidP="00EF42B5">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heme="minorHAnsi" w:hAnsiTheme="minorHAnsi" w:cstheme="minorHAnsi"/>
          <w:color w:val="000000"/>
          <w:sz w:val="20"/>
          <w:szCs w:val="20"/>
        </w:rPr>
      </w:pPr>
    </w:p>
    <w:p w14:paraId="60CFD881" w14:textId="77777777" w:rsidR="008D0280" w:rsidRPr="00EF42B5" w:rsidRDefault="008D0280" w:rsidP="00EF42B5">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heme="minorHAnsi" w:hAnsiTheme="minorHAnsi" w:cstheme="minorHAnsi"/>
          <w:color w:val="000000"/>
          <w:sz w:val="20"/>
          <w:szCs w:val="20"/>
        </w:rPr>
      </w:pPr>
    </w:p>
    <w:p w14:paraId="20B1C666" w14:textId="45AA514C" w:rsidR="008D0280" w:rsidRPr="00EF42B5" w:rsidRDefault="004A23E3" w:rsidP="00EF42B5">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hAnsiTheme="minorHAnsi" w:cstheme="minorHAnsi"/>
          <w:b/>
          <w:color w:val="000000"/>
          <w:sz w:val="20"/>
          <w:szCs w:val="20"/>
        </w:rPr>
      </w:pPr>
      <w:r w:rsidRPr="00EF42B5">
        <w:rPr>
          <w:rFonts w:asciiTheme="minorHAnsi" w:hAnsiTheme="minorHAnsi" w:cstheme="minorHAnsi"/>
          <w:b/>
          <w:color w:val="000000"/>
          <w:sz w:val="20"/>
          <w:szCs w:val="20"/>
        </w:rPr>
        <w:t xml:space="preserve">Diseño </w:t>
      </w:r>
      <w:r w:rsidR="00EF42B5">
        <w:rPr>
          <w:rFonts w:asciiTheme="minorHAnsi" w:hAnsiTheme="minorHAnsi" w:cstheme="minorHAnsi"/>
          <w:b/>
          <w:color w:val="000000"/>
          <w:sz w:val="20"/>
          <w:szCs w:val="20"/>
        </w:rPr>
        <w:t>d</w:t>
      </w:r>
      <w:r w:rsidR="00EF42B5" w:rsidRPr="00EF42B5">
        <w:rPr>
          <w:rFonts w:asciiTheme="minorHAnsi" w:hAnsiTheme="minorHAnsi" w:cstheme="minorHAnsi"/>
          <w:b/>
          <w:color w:val="000000"/>
          <w:sz w:val="20"/>
          <w:szCs w:val="20"/>
        </w:rPr>
        <w:t>el Mapa Estratégico</w:t>
      </w:r>
      <w:r w:rsidR="00ED7BBA">
        <w:rPr>
          <w:rFonts w:asciiTheme="minorHAnsi" w:hAnsiTheme="minorHAnsi" w:cstheme="minorHAnsi"/>
          <w:b/>
          <w:color w:val="000000"/>
          <w:sz w:val="20"/>
          <w:szCs w:val="20"/>
        </w:rPr>
        <w:t>.</w:t>
      </w:r>
    </w:p>
    <w:p w14:paraId="5F15025B" w14:textId="77777777" w:rsidR="008D0280" w:rsidRPr="00EF42B5" w:rsidRDefault="008D0280" w:rsidP="00EF42B5">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hAnsiTheme="minorHAnsi" w:cstheme="minorHAnsi"/>
          <w:b/>
          <w:color w:val="000000"/>
          <w:sz w:val="20"/>
          <w:szCs w:val="20"/>
        </w:rPr>
      </w:pPr>
    </w:p>
    <w:p w14:paraId="44084BF4" w14:textId="7650CAD7" w:rsidR="008D0280" w:rsidRDefault="004A23E3" w:rsidP="00EF42B5">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hAnsiTheme="minorHAnsi" w:cstheme="minorHAnsi"/>
          <w:color w:val="000000"/>
          <w:sz w:val="20"/>
          <w:szCs w:val="20"/>
        </w:rPr>
      </w:pPr>
      <w:r w:rsidRPr="00EF42B5">
        <w:rPr>
          <w:rFonts w:asciiTheme="minorHAnsi" w:hAnsiTheme="minorHAnsi" w:cstheme="minorHAnsi"/>
          <w:color w:val="000000"/>
          <w:sz w:val="20"/>
          <w:szCs w:val="20"/>
        </w:rPr>
        <w:t>De acuerdo a Kaplan y Norton (2004), el Mapa Estratégico es el instrumento que conecta la formulación con la implantación de la estrategia. Debe comunicar de forma concreta la misión, visión y estrategias de toda organización, de modo que permita gestionar las acciones que cumplan con los objetivos estratégicos. Permite interpretar en forma adecuada las relaciones causa-efecto de las estrategias con respecto a las acciones que desde adentro y afuera de la empresa garantizan su viabilidad y orientan los esfuerzos hacia la satisfacción de las expectativas de los clientes. El Mapa Estratégico se construye a partir del modelo de Cuadro de Mando Integral con las cuatro perspectivas mencionadas anteriormente: la financiera, la del cliente, la interna y la de aprendizaje y crecimiento. Estas perspectivas permiten relacionar la estrategia con los objetivos estratégicos.</w:t>
      </w:r>
    </w:p>
    <w:p w14:paraId="1482A0FB" w14:textId="77777777" w:rsidR="00EF42B5" w:rsidRPr="00EF42B5" w:rsidRDefault="00EF42B5" w:rsidP="00EF42B5">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hAnsiTheme="minorHAnsi" w:cstheme="minorHAnsi"/>
          <w:color w:val="000000"/>
          <w:sz w:val="20"/>
          <w:szCs w:val="20"/>
        </w:rPr>
      </w:pPr>
    </w:p>
    <w:p w14:paraId="0D56A2E4" w14:textId="72666EDC" w:rsidR="008D0280" w:rsidRDefault="004A23E3" w:rsidP="00EF42B5">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heme="minorHAnsi" w:hAnsiTheme="minorHAnsi" w:cstheme="minorHAnsi"/>
          <w:color w:val="000000"/>
          <w:sz w:val="20"/>
          <w:szCs w:val="20"/>
        </w:rPr>
      </w:pPr>
      <w:r w:rsidRPr="00EF42B5">
        <w:rPr>
          <w:rFonts w:asciiTheme="minorHAnsi" w:hAnsiTheme="minorHAnsi" w:cstheme="minorHAnsi"/>
          <w:color w:val="000000"/>
          <w:sz w:val="20"/>
          <w:szCs w:val="20"/>
        </w:rPr>
        <w:t xml:space="preserve">La estrategia tiene como fin último cumplir con los objetivos financieros estratégicos; para ello, la clave del proceso se centra en crear valor para el accionista y el cliente. Si bien, en términos de la empresa, ambos objetivos son conducentes, la interpretación de “valor” es diferente para cada uno de ellos. Para el accionista, la sumatoria de los beneficios debe ser mayor a los costos que implique afrontar la estrategia para que esta situación se dé y se cree valor; por su parte, el cliente percibirá valor adicional si las características del bien brindan una utilidad mayor por cada unidad monetaria adicional que requiera la adquisición (Quintero y Sánchez, 2006). En este sentido, Karl </w:t>
      </w:r>
      <w:proofErr w:type="spellStart"/>
      <w:r w:rsidRPr="00EF42B5">
        <w:rPr>
          <w:rFonts w:asciiTheme="minorHAnsi" w:hAnsiTheme="minorHAnsi" w:cstheme="minorHAnsi"/>
          <w:color w:val="000000"/>
          <w:sz w:val="20"/>
          <w:szCs w:val="20"/>
        </w:rPr>
        <w:t>Kautsky</w:t>
      </w:r>
      <w:proofErr w:type="spellEnd"/>
      <w:r w:rsidRPr="00EF42B5">
        <w:rPr>
          <w:rFonts w:asciiTheme="minorHAnsi" w:hAnsiTheme="minorHAnsi" w:cstheme="minorHAnsi"/>
          <w:color w:val="000000"/>
          <w:sz w:val="20"/>
          <w:szCs w:val="20"/>
        </w:rPr>
        <w:t xml:space="preserve"> (1974) menciona que cada producto o servicio ha de ser útil, respondiendo a una necesidad implícita o explícita, lo que efectivamente determinará su valor de uso y, en consecuencia, su valor de cambio. </w:t>
      </w:r>
    </w:p>
    <w:p w14:paraId="5EB7D82B" w14:textId="77777777" w:rsidR="00EF42B5" w:rsidRPr="00EF42B5" w:rsidRDefault="00EF42B5" w:rsidP="00EF42B5">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heme="minorHAnsi" w:hAnsiTheme="minorHAnsi" w:cstheme="minorHAnsi"/>
          <w:color w:val="000000"/>
          <w:sz w:val="20"/>
          <w:szCs w:val="20"/>
        </w:rPr>
      </w:pPr>
    </w:p>
    <w:p w14:paraId="4FB3B0BC" w14:textId="4DECD957" w:rsidR="008D0280" w:rsidRDefault="004A23E3" w:rsidP="00EF42B5">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heme="minorHAnsi" w:hAnsiTheme="minorHAnsi" w:cstheme="minorHAnsi"/>
          <w:color w:val="000000"/>
          <w:sz w:val="20"/>
          <w:szCs w:val="20"/>
        </w:rPr>
      </w:pPr>
      <w:r w:rsidRPr="00EF42B5">
        <w:rPr>
          <w:rFonts w:asciiTheme="minorHAnsi" w:hAnsiTheme="minorHAnsi" w:cstheme="minorHAnsi"/>
          <w:color w:val="000000"/>
          <w:sz w:val="20"/>
          <w:szCs w:val="20"/>
        </w:rPr>
        <w:lastRenderedPageBreak/>
        <w:t>El mapa estratégico permite visualizar las directrices y, en consecuencia, identificar las fallas de alineamiento en la proposición de los objetivos estratégicos y la asignación eficiente de recursos escasos que intervienen en la mencionada creación de valor. Allí la perspectiva interna contribuye con las propuestas necesarias para establecer mecanismos de mejora en los procesos internos, los cuales permitirán eventualmente reconocer las características del producto o servicio que adicionen valor tangible a los requerimientos de los clientes de la empresa (Kaplan y Norton, 2004).</w:t>
      </w:r>
    </w:p>
    <w:p w14:paraId="125AB1C7" w14:textId="77777777" w:rsidR="00EF42B5" w:rsidRPr="00EF42B5" w:rsidRDefault="00EF42B5" w:rsidP="00EF42B5">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heme="minorHAnsi" w:hAnsiTheme="minorHAnsi" w:cstheme="minorHAnsi"/>
          <w:color w:val="000000"/>
          <w:sz w:val="20"/>
          <w:szCs w:val="20"/>
        </w:rPr>
      </w:pPr>
    </w:p>
    <w:p w14:paraId="3B900712" w14:textId="45EFE1ED" w:rsidR="008D0280" w:rsidRDefault="004A23E3" w:rsidP="00EF42B5">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heme="minorHAnsi" w:hAnsiTheme="minorHAnsi" w:cstheme="minorHAnsi"/>
          <w:color w:val="000000"/>
          <w:sz w:val="20"/>
          <w:szCs w:val="20"/>
        </w:rPr>
      </w:pPr>
      <w:r w:rsidRPr="00EF42B5">
        <w:rPr>
          <w:rFonts w:asciiTheme="minorHAnsi" w:hAnsiTheme="minorHAnsi" w:cstheme="minorHAnsi"/>
          <w:color w:val="000000"/>
          <w:sz w:val="20"/>
          <w:szCs w:val="20"/>
        </w:rPr>
        <w:t xml:space="preserve">El mapa estratégico diagrama la estructura de la estrategia en la construcción del diseño del </w:t>
      </w:r>
      <w:r w:rsidRPr="00EF42B5">
        <w:rPr>
          <w:rFonts w:asciiTheme="minorHAnsi" w:hAnsiTheme="minorHAnsi" w:cstheme="minorHAnsi"/>
          <w:i/>
          <w:color w:val="000000"/>
          <w:sz w:val="20"/>
          <w:szCs w:val="20"/>
        </w:rPr>
        <w:t xml:space="preserve">Balance </w:t>
      </w:r>
      <w:proofErr w:type="spellStart"/>
      <w:r w:rsidRPr="00EF42B5">
        <w:rPr>
          <w:rFonts w:asciiTheme="minorHAnsi" w:hAnsiTheme="minorHAnsi" w:cstheme="minorHAnsi"/>
          <w:i/>
          <w:color w:val="000000"/>
          <w:sz w:val="20"/>
          <w:szCs w:val="20"/>
        </w:rPr>
        <w:t>Scorecard</w:t>
      </w:r>
      <w:proofErr w:type="spellEnd"/>
      <w:r w:rsidRPr="00EF42B5">
        <w:rPr>
          <w:rFonts w:asciiTheme="minorHAnsi" w:hAnsiTheme="minorHAnsi" w:cstheme="minorHAnsi"/>
          <w:color w:val="000000"/>
          <w:sz w:val="20"/>
          <w:szCs w:val="20"/>
        </w:rPr>
        <w:t xml:space="preserve"> como muestra la Figura 2.</w:t>
      </w:r>
    </w:p>
    <w:p w14:paraId="1F6C1129" w14:textId="77777777" w:rsidR="008D0280" w:rsidRPr="00EF42B5" w:rsidRDefault="008D0280" w:rsidP="00EF42B5">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heme="minorHAnsi" w:hAnsiTheme="minorHAnsi" w:cstheme="minorHAnsi"/>
          <w:color w:val="000000"/>
          <w:sz w:val="20"/>
          <w:szCs w:val="20"/>
        </w:rPr>
      </w:pPr>
    </w:p>
    <w:p w14:paraId="0FDB20A6" w14:textId="77777777" w:rsidR="008D0280" w:rsidRPr="00EF42B5" w:rsidRDefault="004A23E3" w:rsidP="004A23E3">
      <w:pPr>
        <w:keepNext/>
        <w:keepLines/>
        <w:pBdr>
          <w:top w:val="nil"/>
          <w:left w:val="nil"/>
          <w:bottom w:val="nil"/>
          <w:right w:val="nil"/>
          <w:between w:val="nil"/>
        </w:pBdr>
        <w:tabs>
          <w:tab w:val="left" w:pos="284"/>
        </w:tabs>
        <w:spacing w:after="0" w:line="240" w:lineRule="auto"/>
        <w:jc w:val="center"/>
        <w:rPr>
          <w:rFonts w:asciiTheme="minorHAnsi" w:hAnsiTheme="minorHAnsi" w:cstheme="minorHAnsi"/>
          <w:i/>
          <w:color w:val="000000"/>
          <w:sz w:val="20"/>
          <w:szCs w:val="20"/>
        </w:rPr>
      </w:pPr>
      <w:r w:rsidRPr="00EF42B5">
        <w:rPr>
          <w:rFonts w:asciiTheme="minorHAnsi" w:hAnsiTheme="minorHAnsi" w:cstheme="minorHAnsi"/>
          <w:b/>
          <w:color w:val="000000"/>
          <w:sz w:val="20"/>
          <w:szCs w:val="20"/>
        </w:rPr>
        <w:t>Figura 2</w:t>
      </w:r>
    </w:p>
    <w:p w14:paraId="6480301B" w14:textId="18897B55" w:rsidR="008D0280" w:rsidRDefault="004A23E3" w:rsidP="004A23E3">
      <w:pPr>
        <w:keepNext/>
        <w:keepLines/>
        <w:pBdr>
          <w:top w:val="nil"/>
          <w:left w:val="nil"/>
          <w:bottom w:val="nil"/>
          <w:right w:val="nil"/>
          <w:between w:val="nil"/>
        </w:pBdr>
        <w:tabs>
          <w:tab w:val="left" w:pos="284"/>
        </w:tabs>
        <w:spacing w:after="0" w:line="240" w:lineRule="auto"/>
        <w:jc w:val="center"/>
        <w:rPr>
          <w:rFonts w:asciiTheme="minorHAnsi" w:hAnsiTheme="minorHAnsi" w:cstheme="minorHAnsi"/>
          <w:i/>
          <w:color w:val="000000"/>
          <w:sz w:val="20"/>
          <w:szCs w:val="20"/>
        </w:rPr>
      </w:pPr>
      <w:r w:rsidRPr="00EF42B5">
        <w:rPr>
          <w:rFonts w:asciiTheme="minorHAnsi" w:hAnsiTheme="minorHAnsi" w:cstheme="minorHAnsi"/>
          <w:i/>
          <w:color w:val="000000"/>
          <w:sz w:val="20"/>
          <w:szCs w:val="20"/>
        </w:rPr>
        <w:t>Mapa Estratégico</w:t>
      </w:r>
    </w:p>
    <w:p w14:paraId="6D4D1935" w14:textId="77777777" w:rsidR="004A23E3" w:rsidRPr="00EF42B5" w:rsidRDefault="004A23E3" w:rsidP="004A23E3">
      <w:pPr>
        <w:keepNext/>
        <w:keepLines/>
        <w:pBdr>
          <w:top w:val="nil"/>
          <w:left w:val="nil"/>
          <w:bottom w:val="nil"/>
          <w:right w:val="nil"/>
          <w:between w:val="nil"/>
        </w:pBdr>
        <w:tabs>
          <w:tab w:val="left" w:pos="284"/>
        </w:tabs>
        <w:spacing w:after="0" w:line="240" w:lineRule="auto"/>
        <w:jc w:val="center"/>
        <w:rPr>
          <w:rFonts w:asciiTheme="minorHAnsi" w:hAnsiTheme="minorHAnsi" w:cstheme="minorHAnsi"/>
          <w:i/>
          <w:color w:val="000000"/>
          <w:sz w:val="20"/>
          <w:szCs w:val="20"/>
        </w:rPr>
      </w:pPr>
    </w:p>
    <w:p w14:paraId="24C277AB" w14:textId="77777777" w:rsidR="008D0280" w:rsidRPr="00EF42B5" w:rsidRDefault="004A23E3" w:rsidP="004A23E3">
      <w:pPr>
        <w:keepNext/>
        <w:keepLines/>
        <w:pBdr>
          <w:top w:val="nil"/>
          <w:left w:val="nil"/>
          <w:bottom w:val="nil"/>
          <w:right w:val="nil"/>
          <w:between w:val="nil"/>
        </w:pBdr>
        <w:tabs>
          <w:tab w:val="left" w:pos="284"/>
        </w:tabs>
        <w:spacing w:after="0" w:line="240" w:lineRule="auto"/>
        <w:jc w:val="center"/>
        <w:rPr>
          <w:rFonts w:asciiTheme="minorHAnsi" w:hAnsiTheme="minorHAnsi" w:cstheme="minorHAnsi"/>
          <w:i/>
          <w:color w:val="000000"/>
          <w:sz w:val="20"/>
          <w:szCs w:val="20"/>
        </w:rPr>
      </w:pPr>
      <w:r w:rsidRPr="00EF42B5">
        <w:rPr>
          <w:rFonts w:asciiTheme="minorHAnsi" w:hAnsiTheme="minorHAnsi" w:cstheme="minorHAnsi"/>
          <w:i/>
          <w:noProof/>
          <w:color w:val="000000"/>
          <w:sz w:val="20"/>
          <w:szCs w:val="20"/>
          <w:lang w:eastAsia="es-AR"/>
        </w:rPr>
        <w:drawing>
          <wp:inline distT="0" distB="0" distL="0" distR="0" wp14:anchorId="286C2C60" wp14:editId="1958CB29">
            <wp:extent cx="5400040" cy="3037205"/>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grayscl/>
                    </a:blip>
                    <a:srcRect/>
                    <a:stretch>
                      <a:fillRect/>
                    </a:stretch>
                  </pic:blipFill>
                  <pic:spPr>
                    <a:xfrm>
                      <a:off x="0" y="0"/>
                      <a:ext cx="5400040" cy="3037205"/>
                    </a:xfrm>
                    <a:prstGeom prst="rect">
                      <a:avLst/>
                    </a:prstGeom>
                    <a:ln/>
                  </pic:spPr>
                </pic:pic>
              </a:graphicData>
            </a:graphic>
          </wp:inline>
        </w:drawing>
      </w:r>
    </w:p>
    <w:p w14:paraId="53759843" w14:textId="77777777" w:rsidR="008D0280" w:rsidRPr="00EF42B5" w:rsidRDefault="008D0280" w:rsidP="00EF42B5">
      <w:pPr>
        <w:keepNext/>
        <w:keepLines/>
        <w:pBdr>
          <w:top w:val="nil"/>
          <w:left w:val="nil"/>
          <w:bottom w:val="nil"/>
          <w:right w:val="nil"/>
          <w:between w:val="nil"/>
        </w:pBdr>
        <w:tabs>
          <w:tab w:val="left" w:pos="284"/>
        </w:tabs>
        <w:spacing w:after="0" w:line="240" w:lineRule="auto"/>
        <w:rPr>
          <w:rFonts w:asciiTheme="minorHAnsi" w:hAnsiTheme="minorHAnsi" w:cstheme="minorHAnsi"/>
          <w:i/>
          <w:color w:val="000000"/>
          <w:sz w:val="20"/>
          <w:szCs w:val="20"/>
        </w:rPr>
      </w:pPr>
    </w:p>
    <w:p w14:paraId="078E1086" w14:textId="5C8B96FD" w:rsidR="00D30EAA" w:rsidRDefault="00D30EAA" w:rsidP="00D30EAA">
      <w:pPr>
        <w:jc w:val="both"/>
        <w:rPr>
          <w:sz w:val="20"/>
          <w:szCs w:val="20"/>
        </w:rPr>
      </w:pPr>
      <w:r w:rsidRPr="0016149D">
        <w:rPr>
          <w:sz w:val="20"/>
          <w:szCs w:val="20"/>
        </w:rPr>
        <w:t xml:space="preserve">Descripción Figura </w:t>
      </w:r>
      <w:r>
        <w:rPr>
          <w:sz w:val="20"/>
          <w:szCs w:val="20"/>
        </w:rPr>
        <w:t>2</w:t>
      </w:r>
      <w:r w:rsidRPr="0016149D">
        <w:rPr>
          <w:sz w:val="20"/>
          <w:szCs w:val="20"/>
        </w:rPr>
        <w:t xml:space="preserve">. </w:t>
      </w:r>
      <w:r>
        <w:rPr>
          <w:sz w:val="20"/>
          <w:szCs w:val="20"/>
        </w:rPr>
        <w:t xml:space="preserve">Mapa Estratégico. </w:t>
      </w:r>
    </w:p>
    <w:p w14:paraId="701C96A7" w14:textId="3A022A22" w:rsidR="00D30EAA" w:rsidRPr="0016149D" w:rsidRDefault="00D30EAA" w:rsidP="00D30EAA">
      <w:pPr>
        <w:jc w:val="both"/>
        <w:rPr>
          <w:sz w:val="20"/>
          <w:szCs w:val="20"/>
        </w:rPr>
      </w:pPr>
      <w:r>
        <w:rPr>
          <w:sz w:val="20"/>
          <w:szCs w:val="20"/>
        </w:rPr>
        <w:t xml:space="preserve">Descripción. Se presentan las diferentes Perspectivas del Cliente, de Aprendizaje y Crecimiento, de Procesos Internos y Financiera del lado izquierdo y del lado derecho las diferentes variables que componen y afectan a cada una. Todo ello contribuye a formar la Estrategia Productiva, la Estrategia de Crecimiento y el Valor del Accionista, formando lo que se denomina el Mapa estratégico. </w:t>
      </w:r>
      <w:r w:rsidR="009641F9">
        <w:rPr>
          <w:sz w:val="20"/>
          <w:szCs w:val="20"/>
        </w:rPr>
        <w:t>Fin de descripción</w:t>
      </w:r>
      <w:r w:rsidRPr="0016149D">
        <w:rPr>
          <w:sz w:val="20"/>
          <w:szCs w:val="20"/>
        </w:rPr>
        <w:t xml:space="preserve"> figura</w:t>
      </w:r>
      <w:r w:rsidR="009641F9">
        <w:rPr>
          <w:sz w:val="20"/>
          <w:szCs w:val="20"/>
        </w:rPr>
        <w:t xml:space="preserve"> 2</w:t>
      </w:r>
      <w:r w:rsidRPr="0016149D">
        <w:rPr>
          <w:sz w:val="20"/>
          <w:szCs w:val="20"/>
        </w:rPr>
        <w:t>, vuelta al texto.</w:t>
      </w:r>
    </w:p>
    <w:p w14:paraId="16604D9C" w14:textId="77777777" w:rsidR="00D30EAA" w:rsidRPr="00EF42B5" w:rsidRDefault="00D30EAA" w:rsidP="00EF42B5">
      <w:pPr>
        <w:spacing w:after="0" w:line="240" w:lineRule="auto"/>
        <w:jc w:val="both"/>
        <w:rPr>
          <w:rFonts w:asciiTheme="minorHAnsi" w:hAnsiTheme="minorHAnsi" w:cstheme="minorHAnsi"/>
          <w:b/>
          <w:sz w:val="20"/>
          <w:szCs w:val="20"/>
        </w:rPr>
      </w:pPr>
    </w:p>
    <w:p w14:paraId="1A0AD3E7" w14:textId="6E552EDB" w:rsidR="008D0280" w:rsidRPr="00EF42B5" w:rsidRDefault="00ED7BBA" w:rsidP="00EF42B5">
      <w:pPr>
        <w:spacing w:after="0" w:line="240" w:lineRule="auto"/>
        <w:jc w:val="both"/>
        <w:rPr>
          <w:rFonts w:asciiTheme="minorHAnsi" w:hAnsiTheme="minorHAnsi" w:cstheme="minorHAnsi"/>
          <w:b/>
          <w:sz w:val="20"/>
          <w:szCs w:val="20"/>
        </w:rPr>
      </w:pPr>
      <w:r>
        <w:rPr>
          <w:rFonts w:asciiTheme="minorHAnsi" w:hAnsiTheme="minorHAnsi" w:cstheme="minorHAnsi"/>
          <w:b/>
          <w:sz w:val="20"/>
          <w:szCs w:val="20"/>
        </w:rPr>
        <w:t>Conclusiones.</w:t>
      </w:r>
    </w:p>
    <w:p w14:paraId="2C6FF6BF" w14:textId="77777777" w:rsidR="008D0280" w:rsidRPr="00EF42B5" w:rsidRDefault="008D0280" w:rsidP="00EF42B5">
      <w:pPr>
        <w:spacing w:after="0" w:line="240" w:lineRule="auto"/>
        <w:jc w:val="both"/>
        <w:rPr>
          <w:rFonts w:asciiTheme="minorHAnsi" w:hAnsiTheme="minorHAnsi" w:cstheme="minorHAnsi"/>
          <w:b/>
          <w:sz w:val="20"/>
          <w:szCs w:val="20"/>
        </w:rPr>
      </w:pPr>
    </w:p>
    <w:p w14:paraId="3CD95E9A" w14:textId="427B0FED" w:rsidR="00EF42B5" w:rsidRDefault="004A23E3" w:rsidP="00EF42B5">
      <w:pPr>
        <w:spacing w:after="0" w:line="240" w:lineRule="auto"/>
        <w:jc w:val="both"/>
        <w:rPr>
          <w:rFonts w:asciiTheme="minorHAnsi" w:hAnsiTheme="minorHAnsi" w:cstheme="minorHAnsi"/>
          <w:sz w:val="20"/>
          <w:szCs w:val="20"/>
        </w:rPr>
      </w:pPr>
      <w:r w:rsidRPr="00EF42B5">
        <w:rPr>
          <w:rFonts w:asciiTheme="minorHAnsi" w:hAnsiTheme="minorHAnsi" w:cstheme="minorHAnsi"/>
          <w:sz w:val="20"/>
          <w:szCs w:val="20"/>
        </w:rPr>
        <w:t xml:space="preserve">No es poco habitual, dentro de cualquier ámbito, observar cómo </w:t>
      </w:r>
      <w:proofErr w:type="gramStart"/>
      <w:r w:rsidRPr="00EF42B5">
        <w:rPr>
          <w:rFonts w:asciiTheme="minorHAnsi" w:hAnsiTheme="minorHAnsi" w:cstheme="minorHAnsi"/>
          <w:sz w:val="20"/>
          <w:szCs w:val="20"/>
        </w:rPr>
        <w:t>fracasan</w:t>
      </w:r>
      <w:proofErr w:type="gramEnd"/>
      <w:r w:rsidRPr="00EF42B5">
        <w:rPr>
          <w:rFonts w:asciiTheme="minorHAnsi" w:hAnsiTheme="minorHAnsi" w:cstheme="minorHAnsi"/>
          <w:sz w:val="20"/>
          <w:szCs w:val="20"/>
        </w:rPr>
        <w:t xml:space="preserve"> empresas que tienen potencial de desarrollo. La literatura académica acuerda en que el principal problema radica en la comunicación y evaluación de la gestión. </w:t>
      </w:r>
    </w:p>
    <w:p w14:paraId="2EE9FE08" w14:textId="77777777" w:rsidR="00EF42B5" w:rsidRPr="00EF42B5" w:rsidRDefault="00EF42B5" w:rsidP="00EF42B5">
      <w:pPr>
        <w:spacing w:after="0" w:line="240" w:lineRule="auto"/>
        <w:jc w:val="both"/>
        <w:rPr>
          <w:rFonts w:asciiTheme="minorHAnsi" w:hAnsiTheme="minorHAnsi" w:cstheme="minorHAnsi"/>
          <w:sz w:val="20"/>
          <w:szCs w:val="20"/>
        </w:rPr>
      </w:pPr>
    </w:p>
    <w:p w14:paraId="366F0B95" w14:textId="061EC613" w:rsidR="008D0280" w:rsidRDefault="004A23E3" w:rsidP="00EF42B5">
      <w:pPr>
        <w:spacing w:after="0" w:line="240" w:lineRule="auto"/>
        <w:ind w:firstLine="709"/>
        <w:jc w:val="both"/>
        <w:rPr>
          <w:rFonts w:asciiTheme="minorHAnsi" w:hAnsiTheme="minorHAnsi" w:cstheme="minorHAnsi"/>
          <w:sz w:val="20"/>
          <w:szCs w:val="20"/>
        </w:rPr>
      </w:pPr>
      <w:r w:rsidRPr="00EF42B5">
        <w:rPr>
          <w:rFonts w:asciiTheme="minorHAnsi" w:hAnsiTheme="minorHAnsi" w:cstheme="minorHAnsi"/>
          <w:sz w:val="20"/>
          <w:szCs w:val="20"/>
        </w:rPr>
        <w:t xml:space="preserve">En virtud de ello, la herramienta Cuadro de Mando Integral es un instrumento de gestión que puede ser implementado con relativa sencillez por cualquier empresa, organización o institución, de carácter público o privado, siempre y cuando tenga una estrategia correctamente delimitada. Todos los esfuerzos de gestión resultan en vano si la estrategia está mal diseñada.    </w:t>
      </w:r>
    </w:p>
    <w:p w14:paraId="65A18B9C" w14:textId="77777777" w:rsidR="00EF42B5" w:rsidRPr="00EF42B5" w:rsidRDefault="00EF42B5" w:rsidP="00EF42B5">
      <w:pPr>
        <w:spacing w:after="0" w:line="240" w:lineRule="auto"/>
        <w:ind w:firstLine="709"/>
        <w:jc w:val="both"/>
        <w:rPr>
          <w:rFonts w:asciiTheme="minorHAnsi" w:hAnsiTheme="minorHAnsi" w:cstheme="minorHAnsi"/>
          <w:sz w:val="20"/>
          <w:szCs w:val="20"/>
        </w:rPr>
      </w:pPr>
    </w:p>
    <w:p w14:paraId="5D1C191C" w14:textId="0175CF2B" w:rsidR="008D0280" w:rsidRDefault="004A23E3" w:rsidP="00EF42B5">
      <w:pPr>
        <w:spacing w:after="0" w:line="240" w:lineRule="auto"/>
        <w:ind w:firstLine="709"/>
        <w:jc w:val="both"/>
        <w:rPr>
          <w:rFonts w:asciiTheme="minorHAnsi" w:hAnsiTheme="minorHAnsi" w:cstheme="minorHAnsi"/>
          <w:sz w:val="20"/>
          <w:szCs w:val="20"/>
        </w:rPr>
      </w:pPr>
      <w:r w:rsidRPr="00EF42B5">
        <w:rPr>
          <w:rFonts w:asciiTheme="minorHAnsi" w:hAnsiTheme="minorHAnsi" w:cstheme="minorHAnsi"/>
          <w:sz w:val="20"/>
          <w:szCs w:val="20"/>
        </w:rPr>
        <w:t xml:space="preserve">Si bien la herramienta tiene como objetivo garantizar la correcta implementación de las estrategias, es necesario reflexionar previamente sobre el adecuado diseño de la misión y visión (¿qué queremos ser y qué es importante para la organización?), la estrategia corporativa (¿en qué negocio </w:t>
      </w:r>
      <w:r w:rsidRPr="00EF42B5">
        <w:rPr>
          <w:rFonts w:asciiTheme="minorHAnsi" w:hAnsiTheme="minorHAnsi" w:cstheme="minorHAnsi"/>
          <w:sz w:val="20"/>
          <w:szCs w:val="20"/>
        </w:rPr>
        <w:lastRenderedPageBreak/>
        <w:t xml:space="preserve">vamos a competir?), y las estrategias competitivas y operativas (¿qué deberíamos mejorar?). El diagnóstico de situación actual representa el paso previo para la correcta definición de la situación deseada, lo que implica proyectar la imagen de la organización a mediano y largo plazo.  </w:t>
      </w:r>
    </w:p>
    <w:p w14:paraId="1F9962E4" w14:textId="77777777" w:rsidR="00EF42B5" w:rsidRPr="00EF42B5" w:rsidRDefault="00EF42B5" w:rsidP="00EF42B5">
      <w:pPr>
        <w:spacing w:after="0" w:line="240" w:lineRule="auto"/>
        <w:ind w:firstLine="709"/>
        <w:jc w:val="both"/>
        <w:rPr>
          <w:rFonts w:asciiTheme="minorHAnsi" w:hAnsiTheme="minorHAnsi" w:cstheme="minorHAnsi"/>
          <w:sz w:val="20"/>
          <w:szCs w:val="20"/>
        </w:rPr>
      </w:pPr>
    </w:p>
    <w:p w14:paraId="19FC3A0A" w14:textId="5A737621" w:rsidR="008D0280" w:rsidRDefault="004A23E3" w:rsidP="00EF42B5">
      <w:pPr>
        <w:spacing w:after="0" w:line="240" w:lineRule="auto"/>
        <w:ind w:firstLine="709"/>
        <w:jc w:val="both"/>
        <w:rPr>
          <w:rFonts w:asciiTheme="minorHAnsi" w:hAnsiTheme="minorHAnsi" w:cstheme="minorHAnsi"/>
          <w:sz w:val="20"/>
          <w:szCs w:val="20"/>
        </w:rPr>
      </w:pPr>
      <w:r w:rsidRPr="00EF42B5">
        <w:rPr>
          <w:rFonts w:asciiTheme="minorHAnsi" w:hAnsiTheme="minorHAnsi" w:cstheme="minorHAnsi"/>
          <w:sz w:val="20"/>
          <w:szCs w:val="20"/>
        </w:rPr>
        <w:t>El costo de implementar un cuadro de mando integral no es significativo y los beneficios son muchos, entre ellos, permite alinear a la organización con la visión de la empresa, mejorar la comunicación hacia el personal respecto del cumplimiento de sus objetivos, redefinir la estrategia en función de la evaluación de los resultados, traducir correctamente la estrategia en acciones, incrementar la utilidad del cliente y crear valor para el accionista y mejorar el proceso de toma de decisiones.</w:t>
      </w:r>
    </w:p>
    <w:p w14:paraId="1A87C943" w14:textId="77777777" w:rsidR="00EF42B5" w:rsidRPr="00EF42B5" w:rsidRDefault="00EF42B5" w:rsidP="00EF42B5">
      <w:pPr>
        <w:spacing w:after="0" w:line="240" w:lineRule="auto"/>
        <w:ind w:firstLine="709"/>
        <w:jc w:val="both"/>
        <w:rPr>
          <w:rFonts w:asciiTheme="minorHAnsi" w:hAnsiTheme="minorHAnsi" w:cstheme="minorHAnsi"/>
          <w:sz w:val="20"/>
          <w:szCs w:val="20"/>
        </w:rPr>
      </w:pPr>
    </w:p>
    <w:p w14:paraId="7C4B5690" w14:textId="6640D579" w:rsidR="008D0280" w:rsidRDefault="004A23E3" w:rsidP="00EF42B5">
      <w:pPr>
        <w:spacing w:after="0" w:line="240" w:lineRule="auto"/>
        <w:ind w:firstLine="709"/>
        <w:jc w:val="both"/>
        <w:rPr>
          <w:rFonts w:asciiTheme="minorHAnsi" w:hAnsiTheme="minorHAnsi" w:cstheme="minorHAnsi"/>
          <w:sz w:val="20"/>
          <w:szCs w:val="20"/>
        </w:rPr>
      </w:pPr>
      <w:r w:rsidRPr="00EF42B5">
        <w:rPr>
          <w:rFonts w:asciiTheme="minorHAnsi" w:hAnsiTheme="minorHAnsi" w:cstheme="minorHAnsi"/>
          <w:sz w:val="20"/>
          <w:szCs w:val="20"/>
        </w:rPr>
        <w:t xml:space="preserve">En síntesis, profesionalizar la gestión debería ser una prioridad para cualquier empresa que desee crecer en su ambiente competitivo. Implementar la herramienta Cuadro de Mando Integral es una alternativa más que válida para afrontar y resolver la problemática planteada.  </w:t>
      </w:r>
    </w:p>
    <w:p w14:paraId="0121542D" w14:textId="77777777" w:rsidR="00EF42B5" w:rsidRDefault="00EF42B5" w:rsidP="00EF42B5">
      <w:pPr>
        <w:spacing w:after="0" w:line="240" w:lineRule="auto"/>
        <w:jc w:val="both"/>
        <w:rPr>
          <w:rFonts w:asciiTheme="minorHAnsi" w:hAnsiTheme="minorHAnsi" w:cstheme="minorHAnsi"/>
          <w:sz w:val="20"/>
          <w:szCs w:val="20"/>
        </w:rPr>
      </w:pPr>
    </w:p>
    <w:p w14:paraId="582F5456" w14:textId="54F3849D" w:rsidR="008D0280" w:rsidRPr="00EF42B5" w:rsidRDefault="004A23E3" w:rsidP="00EF42B5">
      <w:pPr>
        <w:spacing w:after="0" w:line="240" w:lineRule="auto"/>
        <w:jc w:val="both"/>
        <w:rPr>
          <w:rFonts w:asciiTheme="minorHAnsi" w:hAnsiTheme="minorHAnsi" w:cstheme="minorHAnsi"/>
          <w:b/>
          <w:sz w:val="20"/>
          <w:szCs w:val="20"/>
        </w:rPr>
      </w:pPr>
      <w:r w:rsidRPr="00EF42B5">
        <w:rPr>
          <w:rFonts w:asciiTheme="minorHAnsi" w:hAnsiTheme="minorHAnsi" w:cstheme="minorHAnsi"/>
          <w:b/>
          <w:sz w:val="20"/>
          <w:szCs w:val="20"/>
        </w:rPr>
        <w:t>Referencias</w:t>
      </w:r>
      <w:r w:rsidR="00EF42B5">
        <w:rPr>
          <w:rFonts w:asciiTheme="minorHAnsi" w:hAnsiTheme="minorHAnsi" w:cstheme="minorHAnsi"/>
          <w:b/>
          <w:sz w:val="20"/>
          <w:szCs w:val="20"/>
        </w:rPr>
        <w:t xml:space="preserve"> Bibliográficas</w:t>
      </w:r>
      <w:r w:rsidR="00ED7BBA">
        <w:rPr>
          <w:rFonts w:asciiTheme="minorHAnsi" w:hAnsiTheme="minorHAnsi" w:cstheme="minorHAnsi"/>
          <w:b/>
          <w:sz w:val="20"/>
          <w:szCs w:val="20"/>
        </w:rPr>
        <w:t>.</w:t>
      </w:r>
    </w:p>
    <w:p w14:paraId="2AC34D5F" w14:textId="77777777" w:rsidR="008D0280" w:rsidRPr="00EF42B5" w:rsidRDefault="008D0280" w:rsidP="00EF42B5">
      <w:pPr>
        <w:spacing w:after="0" w:line="240" w:lineRule="auto"/>
        <w:jc w:val="both"/>
        <w:rPr>
          <w:rFonts w:asciiTheme="minorHAnsi" w:hAnsiTheme="minorHAnsi" w:cstheme="minorHAnsi"/>
          <w:b/>
          <w:sz w:val="20"/>
          <w:szCs w:val="20"/>
        </w:rPr>
      </w:pPr>
    </w:p>
    <w:p w14:paraId="217BFF18" w14:textId="77777777" w:rsidR="008D0280" w:rsidRPr="00EF42B5" w:rsidRDefault="004A23E3" w:rsidP="00EF42B5">
      <w:pPr>
        <w:spacing w:after="0" w:line="240" w:lineRule="auto"/>
        <w:ind w:left="720" w:hanging="720"/>
        <w:jc w:val="both"/>
        <w:rPr>
          <w:rFonts w:asciiTheme="minorHAnsi" w:hAnsiTheme="minorHAnsi" w:cstheme="minorHAnsi"/>
          <w:sz w:val="20"/>
          <w:szCs w:val="20"/>
        </w:rPr>
      </w:pPr>
      <w:proofErr w:type="spellStart"/>
      <w:r w:rsidRPr="00EF42B5">
        <w:rPr>
          <w:rFonts w:asciiTheme="minorHAnsi" w:hAnsiTheme="minorHAnsi" w:cstheme="minorHAnsi"/>
          <w:sz w:val="20"/>
          <w:szCs w:val="20"/>
        </w:rPr>
        <w:t>Altair</w:t>
      </w:r>
      <w:proofErr w:type="spellEnd"/>
      <w:r w:rsidRPr="00EF42B5">
        <w:rPr>
          <w:rFonts w:asciiTheme="minorHAnsi" w:hAnsiTheme="minorHAnsi" w:cstheme="minorHAnsi"/>
          <w:sz w:val="20"/>
          <w:szCs w:val="20"/>
        </w:rPr>
        <w:t xml:space="preserve"> Consultores. (2005). </w:t>
      </w:r>
      <w:r w:rsidRPr="00EF42B5">
        <w:rPr>
          <w:rFonts w:asciiTheme="minorHAnsi" w:hAnsiTheme="minorHAnsi" w:cstheme="minorHAnsi"/>
          <w:i/>
          <w:sz w:val="20"/>
          <w:szCs w:val="20"/>
        </w:rPr>
        <w:t>El Cuadro de Mando Integral</w:t>
      </w:r>
      <w:r w:rsidRPr="00EF42B5">
        <w:rPr>
          <w:rFonts w:asciiTheme="minorHAnsi" w:hAnsiTheme="minorHAnsi" w:cstheme="minorHAnsi"/>
          <w:sz w:val="20"/>
          <w:szCs w:val="20"/>
        </w:rPr>
        <w:t xml:space="preserve">. ECO3 Colecciones.  </w:t>
      </w:r>
    </w:p>
    <w:p w14:paraId="2CF5FD6F" w14:textId="77777777" w:rsidR="008D0280" w:rsidRPr="00EF42B5" w:rsidRDefault="008D0280" w:rsidP="00EF42B5">
      <w:pPr>
        <w:spacing w:after="0" w:line="240" w:lineRule="auto"/>
        <w:ind w:left="720" w:hanging="720"/>
        <w:jc w:val="both"/>
        <w:rPr>
          <w:rFonts w:asciiTheme="minorHAnsi" w:hAnsiTheme="minorHAnsi" w:cstheme="minorHAnsi"/>
          <w:sz w:val="20"/>
          <w:szCs w:val="20"/>
        </w:rPr>
      </w:pPr>
    </w:p>
    <w:p w14:paraId="74084A43" w14:textId="77777777" w:rsidR="008D0280" w:rsidRPr="00EF42B5" w:rsidRDefault="004A23E3" w:rsidP="00EF42B5">
      <w:pPr>
        <w:spacing w:after="0" w:line="240" w:lineRule="auto"/>
        <w:ind w:left="720" w:hanging="720"/>
        <w:jc w:val="both"/>
        <w:rPr>
          <w:rFonts w:asciiTheme="minorHAnsi" w:hAnsiTheme="minorHAnsi" w:cstheme="minorHAnsi"/>
          <w:sz w:val="20"/>
          <w:szCs w:val="20"/>
        </w:rPr>
      </w:pPr>
      <w:proofErr w:type="spellStart"/>
      <w:r w:rsidRPr="00EF42B5">
        <w:rPr>
          <w:rFonts w:asciiTheme="minorHAnsi" w:hAnsiTheme="minorHAnsi" w:cstheme="minorHAnsi"/>
          <w:sz w:val="20"/>
          <w:szCs w:val="20"/>
        </w:rPr>
        <w:t>Ballvé</w:t>
      </w:r>
      <w:proofErr w:type="spellEnd"/>
      <w:r w:rsidRPr="00EF42B5">
        <w:rPr>
          <w:rFonts w:asciiTheme="minorHAnsi" w:hAnsiTheme="minorHAnsi" w:cstheme="minorHAnsi"/>
          <w:sz w:val="20"/>
          <w:szCs w:val="20"/>
        </w:rPr>
        <w:t xml:space="preserve">, A. (2007). </w:t>
      </w:r>
      <w:r w:rsidRPr="00EF42B5">
        <w:rPr>
          <w:rFonts w:asciiTheme="minorHAnsi" w:hAnsiTheme="minorHAnsi" w:cstheme="minorHAnsi"/>
          <w:i/>
          <w:sz w:val="20"/>
          <w:szCs w:val="20"/>
        </w:rPr>
        <w:t>Tablero de Control, Información para crear valor</w:t>
      </w:r>
      <w:r w:rsidRPr="00EF42B5">
        <w:rPr>
          <w:rFonts w:asciiTheme="minorHAnsi" w:hAnsiTheme="minorHAnsi" w:cstheme="minorHAnsi"/>
          <w:sz w:val="20"/>
          <w:szCs w:val="20"/>
        </w:rPr>
        <w:t xml:space="preserve">. </w:t>
      </w:r>
      <w:proofErr w:type="spellStart"/>
      <w:r w:rsidRPr="00EF42B5">
        <w:rPr>
          <w:rFonts w:asciiTheme="minorHAnsi" w:hAnsiTheme="minorHAnsi" w:cstheme="minorHAnsi"/>
          <w:sz w:val="20"/>
          <w:szCs w:val="20"/>
        </w:rPr>
        <w:t>Emecé</w:t>
      </w:r>
      <w:proofErr w:type="spellEnd"/>
      <w:r w:rsidRPr="00EF42B5">
        <w:rPr>
          <w:rFonts w:asciiTheme="minorHAnsi" w:hAnsiTheme="minorHAnsi" w:cstheme="minorHAnsi"/>
          <w:sz w:val="20"/>
          <w:szCs w:val="20"/>
        </w:rPr>
        <w:t xml:space="preserve"> – Planeta.</w:t>
      </w:r>
    </w:p>
    <w:p w14:paraId="7D15DC5B" w14:textId="77777777" w:rsidR="008D0280" w:rsidRPr="00EF42B5" w:rsidRDefault="008D0280" w:rsidP="00EF42B5">
      <w:pPr>
        <w:spacing w:after="0" w:line="240" w:lineRule="auto"/>
        <w:ind w:left="720" w:hanging="720"/>
        <w:jc w:val="both"/>
        <w:rPr>
          <w:rFonts w:asciiTheme="minorHAnsi" w:hAnsiTheme="minorHAnsi" w:cstheme="minorHAnsi"/>
          <w:sz w:val="20"/>
          <w:szCs w:val="20"/>
        </w:rPr>
      </w:pPr>
    </w:p>
    <w:p w14:paraId="4AB37E2D" w14:textId="77777777" w:rsidR="008D0280" w:rsidRPr="00EF42B5" w:rsidRDefault="004A23E3" w:rsidP="00EF42B5">
      <w:pPr>
        <w:spacing w:after="0" w:line="240" w:lineRule="auto"/>
        <w:ind w:left="720" w:hanging="720"/>
        <w:jc w:val="both"/>
        <w:rPr>
          <w:rFonts w:asciiTheme="minorHAnsi" w:hAnsiTheme="minorHAnsi" w:cstheme="minorHAnsi"/>
          <w:sz w:val="20"/>
          <w:szCs w:val="20"/>
          <w:lang w:val="en-US"/>
        </w:rPr>
      </w:pPr>
      <w:proofErr w:type="spellStart"/>
      <w:r w:rsidRPr="00EF42B5">
        <w:rPr>
          <w:rFonts w:asciiTheme="minorHAnsi" w:hAnsiTheme="minorHAnsi" w:cstheme="minorHAnsi"/>
          <w:sz w:val="20"/>
          <w:szCs w:val="20"/>
        </w:rPr>
        <w:t>Baraybar</w:t>
      </w:r>
      <w:proofErr w:type="spellEnd"/>
      <w:r w:rsidRPr="00EF42B5">
        <w:rPr>
          <w:rFonts w:asciiTheme="minorHAnsi" w:hAnsiTheme="minorHAnsi" w:cstheme="minorHAnsi"/>
          <w:sz w:val="20"/>
          <w:szCs w:val="20"/>
        </w:rPr>
        <w:t xml:space="preserve">, F. A. (2011). </w:t>
      </w:r>
      <w:r w:rsidRPr="00EF42B5">
        <w:rPr>
          <w:rFonts w:asciiTheme="minorHAnsi" w:hAnsiTheme="minorHAnsi" w:cstheme="minorHAnsi"/>
          <w:i/>
          <w:sz w:val="20"/>
          <w:szCs w:val="20"/>
        </w:rPr>
        <w:t>El cuadro de Mando Integral</w:t>
      </w:r>
      <w:r w:rsidRPr="00EF42B5">
        <w:rPr>
          <w:rFonts w:asciiTheme="minorHAnsi" w:hAnsiTheme="minorHAnsi" w:cstheme="minorHAnsi"/>
          <w:sz w:val="20"/>
          <w:szCs w:val="20"/>
        </w:rPr>
        <w:t xml:space="preserve">. </w:t>
      </w:r>
      <w:proofErr w:type="gramStart"/>
      <w:r w:rsidRPr="00EF42B5">
        <w:rPr>
          <w:rFonts w:asciiTheme="minorHAnsi" w:hAnsiTheme="minorHAnsi" w:cstheme="minorHAnsi"/>
          <w:i/>
          <w:sz w:val="20"/>
          <w:szCs w:val="20"/>
          <w:lang w:val="en-US"/>
        </w:rPr>
        <w:t>“Balanced Scorecard”</w:t>
      </w:r>
      <w:r w:rsidRPr="00EF42B5">
        <w:rPr>
          <w:rFonts w:asciiTheme="minorHAnsi" w:hAnsiTheme="minorHAnsi" w:cstheme="minorHAnsi"/>
          <w:sz w:val="20"/>
          <w:szCs w:val="20"/>
          <w:lang w:val="en-US"/>
        </w:rPr>
        <w:t>.</w:t>
      </w:r>
      <w:proofErr w:type="gramEnd"/>
      <w:r w:rsidRPr="00EF42B5">
        <w:rPr>
          <w:rFonts w:asciiTheme="minorHAnsi" w:hAnsiTheme="minorHAnsi" w:cstheme="minorHAnsi"/>
          <w:sz w:val="20"/>
          <w:szCs w:val="20"/>
          <w:lang w:val="en-US"/>
        </w:rPr>
        <w:t xml:space="preserve"> </w:t>
      </w:r>
      <w:proofErr w:type="spellStart"/>
      <w:r w:rsidRPr="00EF42B5">
        <w:rPr>
          <w:rFonts w:asciiTheme="minorHAnsi" w:hAnsiTheme="minorHAnsi" w:cstheme="minorHAnsi"/>
          <w:sz w:val="20"/>
          <w:szCs w:val="20"/>
          <w:lang w:val="en-US"/>
        </w:rPr>
        <w:t>Esic</w:t>
      </w:r>
      <w:proofErr w:type="spellEnd"/>
      <w:r w:rsidRPr="00EF42B5">
        <w:rPr>
          <w:rFonts w:asciiTheme="minorHAnsi" w:hAnsiTheme="minorHAnsi" w:cstheme="minorHAnsi"/>
          <w:sz w:val="20"/>
          <w:szCs w:val="20"/>
          <w:lang w:val="en-US"/>
        </w:rPr>
        <w:t xml:space="preserve"> Editorial.</w:t>
      </w:r>
    </w:p>
    <w:p w14:paraId="62FC6C92" w14:textId="77777777" w:rsidR="008D0280" w:rsidRPr="00EF42B5" w:rsidRDefault="008D0280" w:rsidP="00EF42B5">
      <w:pPr>
        <w:spacing w:after="0" w:line="240" w:lineRule="auto"/>
        <w:ind w:left="720" w:hanging="720"/>
        <w:jc w:val="both"/>
        <w:rPr>
          <w:rFonts w:asciiTheme="minorHAnsi" w:hAnsiTheme="minorHAnsi" w:cstheme="minorHAnsi"/>
          <w:sz w:val="20"/>
          <w:szCs w:val="20"/>
          <w:lang w:val="en-US"/>
        </w:rPr>
      </w:pPr>
    </w:p>
    <w:p w14:paraId="08DE1048" w14:textId="77777777" w:rsidR="008D0280" w:rsidRPr="00EF42B5" w:rsidRDefault="004A23E3" w:rsidP="00EF42B5">
      <w:pPr>
        <w:spacing w:after="0" w:line="240" w:lineRule="auto"/>
        <w:ind w:left="720" w:hanging="720"/>
        <w:jc w:val="both"/>
        <w:rPr>
          <w:rFonts w:asciiTheme="minorHAnsi" w:hAnsiTheme="minorHAnsi" w:cstheme="minorHAnsi"/>
          <w:sz w:val="20"/>
          <w:szCs w:val="20"/>
          <w:highlight w:val="white"/>
        </w:rPr>
      </w:pPr>
      <w:proofErr w:type="spellStart"/>
      <w:r w:rsidRPr="00EF42B5">
        <w:rPr>
          <w:rFonts w:asciiTheme="minorHAnsi" w:hAnsiTheme="minorHAnsi" w:cstheme="minorHAnsi"/>
          <w:sz w:val="20"/>
          <w:szCs w:val="20"/>
          <w:highlight w:val="white"/>
          <w:lang w:val="en-US"/>
        </w:rPr>
        <w:t>Fleitman</w:t>
      </w:r>
      <w:proofErr w:type="spellEnd"/>
      <w:r w:rsidRPr="00EF42B5">
        <w:rPr>
          <w:rFonts w:asciiTheme="minorHAnsi" w:hAnsiTheme="minorHAnsi" w:cstheme="minorHAnsi"/>
          <w:sz w:val="20"/>
          <w:szCs w:val="20"/>
          <w:highlight w:val="white"/>
          <w:lang w:val="en-US"/>
        </w:rPr>
        <w:t xml:space="preserve">, J. (2008). </w:t>
      </w:r>
      <w:r w:rsidRPr="00EF42B5">
        <w:rPr>
          <w:rFonts w:asciiTheme="minorHAnsi" w:hAnsiTheme="minorHAnsi" w:cstheme="minorHAnsi"/>
          <w:i/>
          <w:sz w:val="20"/>
          <w:szCs w:val="20"/>
          <w:highlight w:val="white"/>
        </w:rPr>
        <w:t>Evaluación integral para implantar modelos de calidad</w:t>
      </w:r>
      <w:r w:rsidRPr="00EF42B5">
        <w:rPr>
          <w:rFonts w:asciiTheme="minorHAnsi" w:hAnsiTheme="minorHAnsi" w:cstheme="minorHAnsi"/>
          <w:sz w:val="20"/>
          <w:szCs w:val="20"/>
          <w:highlight w:val="white"/>
        </w:rPr>
        <w:t xml:space="preserve">. Editorial </w:t>
      </w:r>
      <w:proofErr w:type="spellStart"/>
      <w:r w:rsidRPr="00EF42B5">
        <w:rPr>
          <w:rFonts w:asciiTheme="minorHAnsi" w:hAnsiTheme="minorHAnsi" w:cstheme="minorHAnsi"/>
          <w:sz w:val="20"/>
          <w:szCs w:val="20"/>
          <w:highlight w:val="white"/>
        </w:rPr>
        <w:t>Pax</w:t>
      </w:r>
      <w:proofErr w:type="spellEnd"/>
      <w:r w:rsidRPr="00EF42B5">
        <w:rPr>
          <w:rFonts w:asciiTheme="minorHAnsi" w:hAnsiTheme="minorHAnsi" w:cstheme="minorHAnsi"/>
          <w:sz w:val="20"/>
          <w:szCs w:val="20"/>
          <w:highlight w:val="white"/>
        </w:rPr>
        <w:t>.</w:t>
      </w:r>
    </w:p>
    <w:p w14:paraId="4A235B91" w14:textId="77777777" w:rsidR="008D0280" w:rsidRPr="00EF42B5" w:rsidRDefault="008D0280" w:rsidP="00EF42B5">
      <w:pPr>
        <w:spacing w:after="0" w:line="240" w:lineRule="auto"/>
        <w:ind w:left="720" w:hanging="720"/>
        <w:jc w:val="both"/>
        <w:rPr>
          <w:rFonts w:asciiTheme="minorHAnsi" w:hAnsiTheme="minorHAnsi" w:cstheme="minorHAnsi"/>
          <w:sz w:val="20"/>
          <w:szCs w:val="20"/>
          <w:highlight w:val="white"/>
        </w:rPr>
      </w:pPr>
    </w:p>
    <w:p w14:paraId="497CB978" w14:textId="77777777" w:rsidR="008D0280" w:rsidRPr="00EF42B5" w:rsidRDefault="004A23E3" w:rsidP="00EF42B5">
      <w:pPr>
        <w:spacing w:after="0" w:line="240" w:lineRule="auto"/>
        <w:ind w:left="720" w:hanging="720"/>
        <w:jc w:val="both"/>
        <w:rPr>
          <w:rFonts w:asciiTheme="minorHAnsi" w:hAnsiTheme="minorHAnsi" w:cstheme="minorHAnsi"/>
          <w:sz w:val="20"/>
          <w:szCs w:val="20"/>
          <w:highlight w:val="white"/>
        </w:rPr>
      </w:pPr>
      <w:bookmarkStart w:id="2" w:name="_heading=h.30j0zll" w:colFirst="0" w:colLast="0"/>
      <w:bookmarkEnd w:id="2"/>
      <w:proofErr w:type="spellStart"/>
      <w:r w:rsidRPr="00EF42B5">
        <w:rPr>
          <w:rFonts w:asciiTheme="minorHAnsi" w:hAnsiTheme="minorHAnsi" w:cstheme="minorHAnsi"/>
          <w:sz w:val="20"/>
          <w:szCs w:val="20"/>
          <w:highlight w:val="white"/>
        </w:rPr>
        <w:t>Ghiglione</w:t>
      </w:r>
      <w:proofErr w:type="spellEnd"/>
      <w:r w:rsidRPr="00EF42B5">
        <w:rPr>
          <w:rFonts w:asciiTheme="minorHAnsi" w:hAnsiTheme="minorHAnsi" w:cstheme="minorHAnsi"/>
          <w:sz w:val="20"/>
          <w:szCs w:val="20"/>
          <w:highlight w:val="white"/>
        </w:rPr>
        <w:t>, F. (2015). </w:t>
      </w:r>
      <w:r w:rsidRPr="00EF42B5">
        <w:rPr>
          <w:rFonts w:asciiTheme="minorHAnsi" w:hAnsiTheme="minorHAnsi" w:cstheme="minorHAnsi"/>
          <w:i/>
          <w:sz w:val="20"/>
          <w:szCs w:val="20"/>
          <w:highlight w:val="white"/>
        </w:rPr>
        <w:t>Gestión de RR. HH del personal de planta permanente de la Honorable Cámara de Diputados (Provincia de La Pampa). Desafíos para una adecuada evaluación de desempeño</w:t>
      </w:r>
      <w:r w:rsidRPr="00EF42B5">
        <w:rPr>
          <w:rFonts w:asciiTheme="minorHAnsi" w:hAnsiTheme="minorHAnsi" w:cstheme="minorHAnsi"/>
          <w:sz w:val="20"/>
          <w:szCs w:val="20"/>
          <w:highlight w:val="white"/>
        </w:rPr>
        <w:t> [Tesis de Maestría, Universidad Nacional de la Pampa]. http://www.biblioteca.unlpam.edu.ar/rdata/tespo/e_ghiges075.pdf</w:t>
      </w:r>
    </w:p>
    <w:p w14:paraId="50E40ABB" w14:textId="77777777" w:rsidR="008D0280" w:rsidRPr="00EF42B5" w:rsidRDefault="008D0280" w:rsidP="00EF42B5">
      <w:pPr>
        <w:spacing w:after="0" w:line="240" w:lineRule="auto"/>
        <w:ind w:left="720" w:hanging="720"/>
        <w:jc w:val="both"/>
        <w:rPr>
          <w:rFonts w:asciiTheme="minorHAnsi" w:hAnsiTheme="minorHAnsi" w:cstheme="minorHAnsi"/>
          <w:sz w:val="20"/>
          <w:szCs w:val="20"/>
          <w:highlight w:val="white"/>
        </w:rPr>
      </w:pPr>
    </w:p>
    <w:p w14:paraId="577C957A" w14:textId="77777777" w:rsidR="008D0280" w:rsidRPr="00EF42B5" w:rsidRDefault="004A23E3" w:rsidP="00EF42B5">
      <w:pPr>
        <w:spacing w:after="0" w:line="240" w:lineRule="auto"/>
        <w:ind w:left="720" w:hanging="720"/>
        <w:jc w:val="both"/>
        <w:rPr>
          <w:rFonts w:asciiTheme="minorHAnsi" w:hAnsiTheme="minorHAnsi" w:cstheme="minorHAnsi"/>
          <w:sz w:val="20"/>
          <w:szCs w:val="20"/>
          <w:highlight w:val="white"/>
        </w:rPr>
      </w:pPr>
      <w:proofErr w:type="spellStart"/>
      <w:r w:rsidRPr="00EF42B5">
        <w:rPr>
          <w:rFonts w:asciiTheme="minorHAnsi" w:hAnsiTheme="minorHAnsi" w:cstheme="minorHAnsi"/>
          <w:sz w:val="20"/>
          <w:szCs w:val="20"/>
          <w:highlight w:val="white"/>
        </w:rPr>
        <w:t>Hamel</w:t>
      </w:r>
      <w:proofErr w:type="spellEnd"/>
      <w:r w:rsidRPr="00EF42B5">
        <w:rPr>
          <w:rFonts w:asciiTheme="minorHAnsi" w:hAnsiTheme="minorHAnsi" w:cstheme="minorHAnsi"/>
          <w:sz w:val="20"/>
          <w:szCs w:val="20"/>
          <w:highlight w:val="white"/>
        </w:rPr>
        <w:t xml:space="preserve">, G. y </w:t>
      </w:r>
      <w:proofErr w:type="spellStart"/>
      <w:r w:rsidRPr="00EF42B5">
        <w:rPr>
          <w:rFonts w:asciiTheme="minorHAnsi" w:hAnsiTheme="minorHAnsi" w:cstheme="minorHAnsi"/>
          <w:sz w:val="20"/>
          <w:szCs w:val="20"/>
          <w:highlight w:val="white"/>
        </w:rPr>
        <w:t>Prahalad</w:t>
      </w:r>
      <w:proofErr w:type="spellEnd"/>
      <w:r w:rsidRPr="00EF42B5">
        <w:rPr>
          <w:rFonts w:asciiTheme="minorHAnsi" w:hAnsiTheme="minorHAnsi" w:cstheme="minorHAnsi"/>
          <w:sz w:val="20"/>
          <w:szCs w:val="20"/>
          <w:highlight w:val="white"/>
        </w:rPr>
        <w:t xml:space="preserve">, C. K. (2005). Propósito estratégico. </w:t>
      </w:r>
      <w:r w:rsidRPr="00EF42B5">
        <w:rPr>
          <w:rFonts w:asciiTheme="minorHAnsi" w:hAnsiTheme="minorHAnsi" w:cstheme="minorHAnsi"/>
          <w:i/>
          <w:sz w:val="20"/>
          <w:szCs w:val="20"/>
          <w:highlight w:val="white"/>
        </w:rPr>
        <w:t xml:space="preserve">Harvard Business </w:t>
      </w:r>
      <w:proofErr w:type="spellStart"/>
      <w:r w:rsidRPr="00EF42B5">
        <w:rPr>
          <w:rFonts w:asciiTheme="minorHAnsi" w:hAnsiTheme="minorHAnsi" w:cstheme="minorHAnsi"/>
          <w:i/>
          <w:sz w:val="20"/>
          <w:szCs w:val="20"/>
          <w:highlight w:val="white"/>
        </w:rPr>
        <w:t>Review</w:t>
      </w:r>
      <w:proofErr w:type="spellEnd"/>
      <w:r w:rsidRPr="00EF42B5">
        <w:rPr>
          <w:rFonts w:asciiTheme="minorHAnsi" w:hAnsiTheme="minorHAnsi" w:cstheme="minorHAnsi"/>
          <w:sz w:val="20"/>
          <w:szCs w:val="20"/>
          <w:highlight w:val="white"/>
        </w:rPr>
        <w:t xml:space="preserve">, 1-14. </w:t>
      </w:r>
    </w:p>
    <w:p w14:paraId="617F5896" w14:textId="77777777" w:rsidR="008D0280" w:rsidRPr="00EF42B5" w:rsidRDefault="008D0280" w:rsidP="00EF42B5">
      <w:pPr>
        <w:spacing w:after="0" w:line="240" w:lineRule="auto"/>
        <w:ind w:left="720" w:hanging="720"/>
        <w:jc w:val="both"/>
        <w:rPr>
          <w:rFonts w:asciiTheme="minorHAnsi" w:hAnsiTheme="minorHAnsi" w:cstheme="minorHAnsi"/>
          <w:sz w:val="20"/>
          <w:szCs w:val="20"/>
          <w:highlight w:val="white"/>
        </w:rPr>
      </w:pPr>
    </w:p>
    <w:p w14:paraId="6D766894" w14:textId="77777777" w:rsidR="008D0280" w:rsidRPr="00EF42B5" w:rsidRDefault="004A23E3" w:rsidP="00EF42B5">
      <w:pPr>
        <w:spacing w:after="0" w:line="240" w:lineRule="auto"/>
        <w:ind w:left="720" w:hanging="720"/>
        <w:jc w:val="both"/>
        <w:rPr>
          <w:rFonts w:asciiTheme="minorHAnsi" w:hAnsiTheme="minorHAnsi" w:cstheme="minorHAnsi"/>
          <w:sz w:val="20"/>
          <w:szCs w:val="20"/>
          <w:highlight w:val="white"/>
        </w:rPr>
      </w:pPr>
      <w:r w:rsidRPr="00EF42B5">
        <w:rPr>
          <w:rFonts w:asciiTheme="minorHAnsi" w:hAnsiTheme="minorHAnsi" w:cstheme="minorHAnsi"/>
          <w:sz w:val="20"/>
          <w:szCs w:val="20"/>
          <w:highlight w:val="white"/>
        </w:rPr>
        <w:t xml:space="preserve">Hernández, N. B. y Ricardo, J. E. (2018). </w:t>
      </w:r>
      <w:r w:rsidRPr="00EF42B5">
        <w:rPr>
          <w:rFonts w:asciiTheme="minorHAnsi" w:hAnsiTheme="minorHAnsi" w:cstheme="minorHAnsi"/>
          <w:i/>
          <w:sz w:val="20"/>
          <w:szCs w:val="20"/>
          <w:highlight w:val="white"/>
        </w:rPr>
        <w:t>Gestión empresarial y posmodernidad</w:t>
      </w:r>
      <w:r w:rsidRPr="00EF42B5">
        <w:rPr>
          <w:rFonts w:asciiTheme="minorHAnsi" w:hAnsiTheme="minorHAnsi" w:cstheme="minorHAnsi"/>
          <w:sz w:val="20"/>
          <w:szCs w:val="20"/>
          <w:highlight w:val="white"/>
        </w:rPr>
        <w:t xml:space="preserve">. </w:t>
      </w:r>
      <w:proofErr w:type="spellStart"/>
      <w:r w:rsidRPr="00EF42B5">
        <w:rPr>
          <w:rFonts w:asciiTheme="minorHAnsi" w:hAnsiTheme="minorHAnsi" w:cstheme="minorHAnsi"/>
          <w:sz w:val="20"/>
          <w:szCs w:val="20"/>
          <w:highlight w:val="white"/>
        </w:rPr>
        <w:t>Infinite</w:t>
      </w:r>
      <w:proofErr w:type="spellEnd"/>
      <w:r w:rsidRPr="00EF42B5">
        <w:rPr>
          <w:rFonts w:asciiTheme="minorHAnsi" w:hAnsiTheme="minorHAnsi" w:cstheme="minorHAnsi"/>
          <w:sz w:val="20"/>
          <w:szCs w:val="20"/>
          <w:highlight w:val="white"/>
        </w:rPr>
        <w:t xml:space="preserve"> </w:t>
      </w:r>
      <w:proofErr w:type="spellStart"/>
      <w:r w:rsidRPr="00EF42B5">
        <w:rPr>
          <w:rFonts w:asciiTheme="minorHAnsi" w:hAnsiTheme="minorHAnsi" w:cstheme="minorHAnsi"/>
          <w:sz w:val="20"/>
          <w:szCs w:val="20"/>
          <w:highlight w:val="white"/>
        </w:rPr>
        <w:t>Study</w:t>
      </w:r>
      <w:proofErr w:type="spellEnd"/>
      <w:r w:rsidRPr="00EF42B5">
        <w:rPr>
          <w:rFonts w:asciiTheme="minorHAnsi" w:hAnsiTheme="minorHAnsi" w:cstheme="minorHAnsi"/>
          <w:sz w:val="20"/>
          <w:szCs w:val="20"/>
          <w:highlight w:val="white"/>
        </w:rPr>
        <w:t>.</w:t>
      </w:r>
    </w:p>
    <w:p w14:paraId="7296D9CB" w14:textId="77777777" w:rsidR="008D0280" w:rsidRPr="00EF42B5" w:rsidRDefault="008D0280" w:rsidP="00EF42B5">
      <w:pPr>
        <w:spacing w:after="0" w:line="240" w:lineRule="auto"/>
        <w:ind w:left="720" w:hanging="720"/>
        <w:jc w:val="both"/>
        <w:rPr>
          <w:rFonts w:asciiTheme="minorHAnsi" w:hAnsiTheme="minorHAnsi" w:cstheme="minorHAnsi"/>
          <w:sz w:val="20"/>
          <w:szCs w:val="20"/>
          <w:highlight w:val="white"/>
        </w:rPr>
      </w:pPr>
    </w:p>
    <w:p w14:paraId="202E2D78" w14:textId="77777777" w:rsidR="008D0280" w:rsidRPr="00EF42B5" w:rsidRDefault="004A23E3" w:rsidP="00EF42B5">
      <w:pPr>
        <w:spacing w:after="0" w:line="240" w:lineRule="auto"/>
        <w:ind w:left="720" w:hanging="720"/>
        <w:jc w:val="both"/>
        <w:rPr>
          <w:rFonts w:asciiTheme="minorHAnsi" w:hAnsiTheme="minorHAnsi" w:cstheme="minorHAnsi"/>
          <w:sz w:val="20"/>
          <w:szCs w:val="20"/>
          <w:lang w:val="en-US"/>
        </w:rPr>
      </w:pPr>
      <w:r w:rsidRPr="00EF42B5">
        <w:rPr>
          <w:rFonts w:asciiTheme="minorHAnsi" w:hAnsiTheme="minorHAnsi" w:cstheme="minorHAnsi"/>
          <w:sz w:val="20"/>
          <w:szCs w:val="20"/>
        </w:rPr>
        <w:t xml:space="preserve">Kaplan, R. y Norton, D. (1996). </w:t>
      </w:r>
      <w:r w:rsidRPr="00EF42B5">
        <w:rPr>
          <w:rFonts w:asciiTheme="minorHAnsi" w:hAnsiTheme="minorHAnsi" w:cstheme="minorHAnsi"/>
          <w:i/>
          <w:sz w:val="20"/>
          <w:szCs w:val="20"/>
        </w:rPr>
        <w:t>El cuadro de Mando Integral</w:t>
      </w:r>
      <w:r w:rsidRPr="00EF42B5">
        <w:rPr>
          <w:rFonts w:asciiTheme="minorHAnsi" w:hAnsiTheme="minorHAnsi" w:cstheme="minorHAnsi"/>
          <w:sz w:val="20"/>
          <w:szCs w:val="20"/>
        </w:rPr>
        <w:t xml:space="preserve">. </w:t>
      </w:r>
      <w:proofErr w:type="gramStart"/>
      <w:r w:rsidRPr="00EF42B5">
        <w:rPr>
          <w:rFonts w:asciiTheme="minorHAnsi" w:hAnsiTheme="minorHAnsi" w:cstheme="minorHAnsi"/>
          <w:i/>
          <w:sz w:val="20"/>
          <w:szCs w:val="20"/>
          <w:lang w:val="en-US"/>
        </w:rPr>
        <w:t>The Balanced Scorecard</w:t>
      </w:r>
      <w:r w:rsidRPr="00EF42B5">
        <w:rPr>
          <w:rFonts w:asciiTheme="minorHAnsi" w:hAnsiTheme="minorHAnsi" w:cstheme="minorHAnsi"/>
          <w:sz w:val="20"/>
          <w:szCs w:val="20"/>
          <w:lang w:val="en-US"/>
        </w:rPr>
        <w:t>.</w:t>
      </w:r>
      <w:proofErr w:type="gramEnd"/>
      <w:r w:rsidRPr="00EF42B5">
        <w:rPr>
          <w:rFonts w:asciiTheme="minorHAnsi" w:hAnsiTheme="minorHAnsi" w:cstheme="minorHAnsi"/>
          <w:sz w:val="20"/>
          <w:szCs w:val="20"/>
          <w:lang w:val="en-US"/>
        </w:rPr>
        <w:t xml:space="preserve"> </w:t>
      </w:r>
      <w:proofErr w:type="spellStart"/>
      <w:proofErr w:type="gramStart"/>
      <w:r w:rsidRPr="00EF42B5">
        <w:rPr>
          <w:rFonts w:asciiTheme="minorHAnsi" w:hAnsiTheme="minorHAnsi" w:cstheme="minorHAnsi"/>
          <w:sz w:val="20"/>
          <w:szCs w:val="20"/>
          <w:lang w:val="en-US"/>
        </w:rPr>
        <w:t>Gestión</w:t>
      </w:r>
      <w:proofErr w:type="spellEnd"/>
      <w:r w:rsidRPr="00EF42B5">
        <w:rPr>
          <w:rFonts w:asciiTheme="minorHAnsi" w:hAnsiTheme="minorHAnsi" w:cstheme="minorHAnsi"/>
          <w:sz w:val="20"/>
          <w:szCs w:val="20"/>
          <w:lang w:val="en-US"/>
        </w:rPr>
        <w:t xml:space="preserve"> 2000.</w:t>
      </w:r>
      <w:proofErr w:type="gramEnd"/>
    </w:p>
    <w:p w14:paraId="26931DA7" w14:textId="77777777" w:rsidR="008D0280" w:rsidRPr="00EF42B5" w:rsidRDefault="008D0280" w:rsidP="00EF42B5">
      <w:pPr>
        <w:spacing w:after="0" w:line="240" w:lineRule="auto"/>
        <w:ind w:left="720" w:hanging="720"/>
        <w:jc w:val="both"/>
        <w:rPr>
          <w:rFonts w:asciiTheme="minorHAnsi" w:hAnsiTheme="minorHAnsi" w:cstheme="minorHAnsi"/>
          <w:sz w:val="20"/>
          <w:szCs w:val="20"/>
          <w:lang w:val="en-US"/>
        </w:rPr>
      </w:pPr>
    </w:p>
    <w:p w14:paraId="74E546F6" w14:textId="77777777" w:rsidR="008D0280" w:rsidRPr="00EF42B5" w:rsidRDefault="004A23E3" w:rsidP="00EF42B5">
      <w:pPr>
        <w:spacing w:after="0" w:line="240" w:lineRule="auto"/>
        <w:ind w:left="720" w:hanging="720"/>
        <w:jc w:val="both"/>
        <w:rPr>
          <w:rFonts w:asciiTheme="minorHAnsi" w:hAnsiTheme="minorHAnsi" w:cstheme="minorHAnsi"/>
          <w:sz w:val="20"/>
          <w:szCs w:val="20"/>
          <w:lang w:val="en-US"/>
        </w:rPr>
      </w:pPr>
      <w:r w:rsidRPr="00EF42B5">
        <w:rPr>
          <w:rFonts w:asciiTheme="minorHAnsi" w:hAnsiTheme="minorHAnsi" w:cstheme="minorHAnsi"/>
          <w:sz w:val="20"/>
          <w:szCs w:val="20"/>
          <w:lang w:val="en-US"/>
        </w:rPr>
        <w:t xml:space="preserve">Kaplan, R. y Norton, D. (2001). </w:t>
      </w:r>
      <w:proofErr w:type="gramStart"/>
      <w:r w:rsidRPr="00EF42B5">
        <w:rPr>
          <w:rFonts w:asciiTheme="minorHAnsi" w:hAnsiTheme="minorHAnsi" w:cstheme="minorHAnsi"/>
          <w:sz w:val="20"/>
          <w:szCs w:val="20"/>
          <w:lang w:val="en-US"/>
        </w:rPr>
        <w:t>Transforming the balanced scorecard from performance measurement to strategic management: Part 1.</w:t>
      </w:r>
      <w:proofErr w:type="gramEnd"/>
      <w:r w:rsidRPr="00EF42B5">
        <w:rPr>
          <w:rFonts w:asciiTheme="minorHAnsi" w:hAnsiTheme="minorHAnsi" w:cstheme="minorHAnsi"/>
          <w:sz w:val="20"/>
          <w:szCs w:val="20"/>
          <w:lang w:val="en-US"/>
        </w:rPr>
        <w:t xml:space="preserve"> </w:t>
      </w:r>
      <w:proofErr w:type="gramStart"/>
      <w:r w:rsidRPr="00EF42B5">
        <w:rPr>
          <w:rFonts w:asciiTheme="minorHAnsi" w:hAnsiTheme="minorHAnsi" w:cstheme="minorHAnsi"/>
          <w:i/>
          <w:sz w:val="20"/>
          <w:szCs w:val="20"/>
          <w:lang w:val="en-US"/>
        </w:rPr>
        <w:t>Accounting horizons,</w:t>
      </w:r>
      <w:r w:rsidRPr="00EF42B5">
        <w:rPr>
          <w:rFonts w:asciiTheme="minorHAnsi" w:hAnsiTheme="minorHAnsi" w:cstheme="minorHAnsi"/>
          <w:sz w:val="20"/>
          <w:szCs w:val="20"/>
          <w:lang w:val="en-US"/>
        </w:rPr>
        <w:t xml:space="preserve"> </w:t>
      </w:r>
      <w:r w:rsidRPr="00EF42B5">
        <w:rPr>
          <w:rFonts w:asciiTheme="minorHAnsi" w:hAnsiTheme="minorHAnsi" w:cstheme="minorHAnsi"/>
          <w:i/>
          <w:sz w:val="20"/>
          <w:szCs w:val="20"/>
          <w:lang w:val="en-US"/>
        </w:rPr>
        <w:t>15</w:t>
      </w:r>
      <w:r w:rsidRPr="00EF42B5">
        <w:rPr>
          <w:rFonts w:asciiTheme="minorHAnsi" w:hAnsiTheme="minorHAnsi" w:cstheme="minorHAnsi"/>
          <w:sz w:val="20"/>
          <w:szCs w:val="20"/>
          <w:lang w:val="en-US"/>
        </w:rPr>
        <w:t>(1), 87-104.</w:t>
      </w:r>
      <w:proofErr w:type="gramEnd"/>
    </w:p>
    <w:p w14:paraId="1AE04D85" w14:textId="77777777" w:rsidR="008D0280" w:rsidRPr="00EF42B5" w:rsidRDefault="008D0280" w:rsidP="00EF42B5">
      <w:pPr>
        <w:spacing w:after="0" w:line="240" w:lineRule="auto"/>
        <w:ind w:left="720" w:hanging="720"/>
        <w:jc w:val="both"/>
        <w:rPr>
          <w:rFonts w:asciiTheme="minorHAnsi" w:hAnsiTheme="minorHAnsi" w:cstheme="minorHAnsi"/>
          <w:sz w:val="20"/>
          <w:szCs w:val="20"/>
          <w:lang w:val="en-US"/>
        </w:rPr>
      </w:pPr>
    </w:p>
    <w:p w14:paraId="2A0AAE6D" w14:textId="77777777" w:rsidR="008D0280" w:rsidRPr="00EF42B5" w:rsidRDefault="004A23E3" w:rsidP="00EF42B5">
      <w:pPr>
        <w:spacing w:after="0" w:line="240" w:lineRule="auto"/>
        <w:ind w:left="720" w:hanging="720"/>
        <w:jc w:val="both"/>
        <w:rPr>
          <w:rFonts w:asciiTheme="minorHAnsi" w:hAnsiTheme="minorHAnsi" w:cstheme="minorHAnsi"/>
          <w:sz w:val="20"/>
          <w:szCs w:val="20"/>
        </w:rPr>
      </w:pPr>
      <w:r w:rsidRPr="00EF42B5">
        <w:rPr>
          <w:rFonts w:asciiTheme="minorHAnsi" w:hAnsiTheme="minorHAnsi" w:cstheme="minorHAnsi"/>
          <w:sz w:val="20"/>
          <w:szCs w:val="20"/>
          <w:lang w:val="en-US"/>
        </w:rPr>
        <w:t xml:space="preserve">Kaplan, R. y Norton, D. (2004). </w:t>
      </w:r>
      <w:r w:rsidRPr="00EF42B5">
        <w:rPr>
          <w:rFonts w:asciiTheme="minorHAnsi" w:hAnsiTheme="minorHAnsi" w:cstheme="minorHAnsi"/>
          <w:i/>
          <w:sz w:val="20"/>
          <w:szCs w:val="20"/>
          <w:lang w:val="en-US"/>
        </w:rPr>
        <w:t>Strategy maps: converting intangible assets into tangible outcomes</w:t>
      </w:r>
      <w:r w:rsidRPr="00EF42B5">
        <w:rPr>
          <w:rFonts w:asciiTheme="minorHAnsi" w:hAnsiTheme="minorHAnsi" w:cstheme="minorHAnsi"/>
          <w:sz w:val="20"/>
          <w:szCs w:val="20"/>
          <w:lang w:val="en-US"/>
        </w:rPr>
        <w:t xml:space="preserve">. </w:t>
      </w:r>
      <w:r w:rsidRPr="00EF42B5">
        <w:rPr>
          <w:rFonts w:asciiTheme="minorHAnsi" w:hAnsiTheme="minorHAnsi" w:cstheme="minorHAnsi"/>
          <w:sz w:val="20"/>
          <w:szCs w:val="20"/>
        </w:rPr>
        <w:t xml:space="preserve">Harvard Business </w:t>
      </w:r>
      <w:proofErr w:type="spellStart"/>
      <w:r w:rsidRPr="00EF42B5">
        <w:rPr>
          <w:rFonts w:asciiTheme="minorHAnsi" w:hAnsiTheme="minorHAnsi" w:cstheme="minorHAnsi"/>
          <w:sz w:val="20"/>
          <w:szCs w:val="20"/>
        </w:rPr>
        <w:t>School</w:t>
      </w:r>
      <w:proofErr w:type="spellEnd"/>
      <w:r w:rsidRPr="00EF42B5">
        <w:rPr>
          <w:rFonts w:asciiTheme="minorHAnsi" w:hAnsiTheme="minorHAnsi" w:cstheme="minorHAnsi"/>
          <w:sz w:val="20"/>
          <w:szCs w:val="20"/>
        </w:rPr>
        <w:t xml:space="preserve">. </w:t>
      </w:r>
    </w:p>
    <w:p w14:paraId="76D24D88" w14:textId="77777777" w:rsidR="008D0280" w:rsidRPr="00EF42B5" w:rsidRDefault="008D0280" w:rsidP="00EF42B5">
      <w:pPr>
        <w:spacing w:after="0" w:line="240" w:lineRule="auto"/>
        <w:ind w:left="720" w:hanging="720"/>
        <w:jc w:val="both"/>
        <w:rPr>
          <w:rFonts w:asciiTheme="minorHAnsi" w:hAnsiTheme="minorHAnsi" w:cstheme="minorHAnsi"/>
          <w:sz w:val="20"/>
          <w:szCs w:val="20"/>
        </w:rPr>
      </w:pPr>
    </w:p>
    <w:p w14:paraId="7CF5549C" w14:textId="77777777" w:rsidR="008D0280" w:rsidRPr="00EF42B5" w:rsidRDefault="004A23E3" w:rsidP="00EF42B5">
      <w:pPr>
        <w:pBdr>
          <w:top w:val="nil"/>
          <w:left w:val="nil"/>
          <w:bottom w:val="nil"/>
          <w:right w:val="nil"/>
          <w:between w:val="nil"/>
        </w:pBdr>
        <w:tabs>
          <w:tab w:val="left" w:pos="269"/>
          <w:tab w:val="left" w:pos="0"/>
          <w:tab w:val="left" w:pos="480"/>
          <w:tab w:val="left" w:pos="481"/>
        </w:tabs>
        <w:spacing w:after="0" w:line="240" w:lineRule="auto"/>
        <w:ind w:left="720" w:hanging="720"/>
        <w:jc w:val="both"/>
        <w:rPr>
          <w:rFonts w:asciiTheme="minorHAnsi" w:hAnsiTheme="minorHAnsi" w:cstheme="minorHAnsi"/>
          <w:sz w:val="20"/>
          <w:szCs w:val="20"/>
        </w:rPr>
      </w:pPr>
      <w:proofErr w:type="spellStart"/>
      <w:r w:rsidRPr="00EF42B5">
        <w:rPr>
          <w:rFonts w:asciiTheme="minorHAnsi" w:hAnsiTheme="minorHAnsi" w:cstheme="minorHAnsi"/>
          <w:sz w:val="20"/>
          <w:szCs w:val="20"/>
        </w:rPr>
        <w:t>Kautsky</w:t>
      </w:r>
      <w:proofErr w:type="spellEnd"/>
      <w:r w:rsidRPr="00EF42B5">
        <w:rPr>
          <w:rFonts w:asciiTheme="minorHAnsi" w:hAnsiTheme="minorHAnsi" w:cstheme="minorHAnsi"/>
          <w:sz w:val="20"/>
          <w:szCs w:val="20"/>
        </w:rPr>
        <w:t xml:space="preserve">, K. (1974). </w:t>
      </w:r>
      <w:r w:rsidRPr="00EF42B5">
        <w:rPr>
          <w:rFonts w:asciiTheme="minorHAnsi" w:hAnsiTheme="minorHAnsi" w:cstheme="minorHAnsi"/>
          <w:i/>
          <w:sz w:val="20"/>
          <w:szCs w:val="20"/>
        </w:rPr>
        <w:t>La cuestión agraria</w:t>
      </w:r>
      <w:r w:rsidRPr="00EF42B5">
        <w:rPr>
          <w:rFonts w:asciiTheme="minorHAnsi" w:hAnsiTheme="minorHAnsi" w:cstheme="minorHAnsi"/>
          <w:sz w:val="20"/>
          <w:szCs w:val="20"/>
        </w:rPr>
        <w:t xml:space="preserve">. Siglo XXI. </w:t>
      </w:r>
    </w:p>
    <w:p w14:paraId="6ABBEEC3" w14:textId="77777777" w:rsidR="008D0280" w:rsidRPr="00EF42B5" w:rsidRDefault="008D0280" w:rsidP="00EF42B5">
      <w:pPr>
        <w:pBdr>
          <w:top w:val="nil"/>
          <w:left w:val="nil"/>
          <w:bottom w:val="nil"/>
          <w:right w:val="nil"/>
          <w:between w:val="nil"/>
        </w:pBdr>
        <w:tabs>
          <w:tab w:val="left" w:pos="269"/>
          <w:tab w:val="left" w:pos="0"/>
          <w:tab w:val="left" w:pos="480"/>
          <w:tab w:val="left" w:pos="481"/>
        </w:tabs>
        <w:spacing w:after="0" w:line="240" w:lineRule="auto"/>
        <w:ind w:left="720" w:hanging="720"/>
        <w:jc w:val="both"/>
        <w:rPr>
          <w:rFonts w:asciiTheme="minorHAnsi" w:hAnsiTheme="minorHAnsi" w:cstheme="minorHAnsi"/>
          <w:sz w:val="20"/>
          <w:szCs w:val="20"/>
        </w:rPr>
      </w:pPr>
    </w:p>
    <w:p w14:paraId="46C3A60D" w14:textId="77777777" w:rsidR="008D0280" w:rsidRPr="00EF42B5" w:rsidRDefault="004A23E3" w:rsidP="00EF42B5">
      <w:pPr>
        <w:spacing w:after="0" w:line="240" w:lineRule="auto"/>
        <w:ind w:left="720" w:hanging="720"/>
        <w:jc w:val="both"/>
        <w:rPr>
          <w:rFonts w:asciiTheme="minorHAnsi" w:hAnsiTheme="minorHAnsi" w:cstheme="minorHAnsi"/>
          <w:sz w:val="20"/>
          <w:szCs w:val="20"/>
        </w:rPr>
      </w:pPr>
      <w:r w:rsidRPr="00EF42B5">
        <w:rPr>
          <w:rFonts w:asciiTheme="minorHAnsi" w:hAnsiTheme="minorHAnsi" w:cstheme="minorHAnsi"/>
          <w:sz w:val="20"/>
          <w:szCs w:val="20"/>
        </w:rPr>
        <w:t xml:space="preserve">Martínez </w:t>
      </w:r>
      <w:proofErr w:type="spellStart"/>
      <w:r w:rsidRPr="00EF42B5">
        <w:rPr>
          <w:rFonts w:asciiTheme="minorHAnsi" w:hAnsiTheme="minorHAnsi" w:cstheme="minorHAnsi"/>
          <w:sz w:val="20"/>
          <w:szCs w:val="20"/>
        </w:rPr>
        <w:t>Pedrós</w:t>
      </w:r>
      <w:proofErr w:type="spellEnd"/>
      <w:r w:rsidRPr="00EF42B5">
        <w:rPr>
          <w:rFonts w:asciiTheme="minorHAnsi" w:hAnsiTheme="minorHAnsi" w:cstheme="minorHAnsi"/>
          <w:sz w:val="20"/>
          <w:szCs w:val="20"/>
        </w:rPr>
        <w:t xml:space="preserve">, D. y Milla Gutiérrez, A. (2012). </w:t>
      </w:r>
      <w:r w:rsidRPr="00EF42B5">
        <w:rPr>
          <w:rFonts w:asciiTheme="minorHAnsi" w:hAnsiTheme="minorHAnsi" w:cstheme="minorHAnsi"/>
          <w:i/>
          <w:sz w:val="20"/>
          <w:szCs w:val="20"/>
        </w:rPr>
        <w:t>Introducción al cuadro de mando integral</w:t>
      </w:r>
      <w:r w:rsidRPr="00EF42B5">
        <w:rPr>
          <w:rFonts w:asciiTheme="minorHAnsi" w:hAnsiTheme="minorHAnsi" w:cstheme="minorHAnsi"/>
          <w:sz w:val="20"/>
          <w:szCs w:val="20"/>
        </w:rPr>
        <w:t>. Ediciones Díaz de Santos.</w:t>
      </w:r>
    </w:p>
    <w:p w14:paraId="5AC61A30" w14:textId="77777777" w:rsidR="008D0280" w:rsidRPr="00EF42B5" w:rsidRDefault="008D0280" w:rsidP="00EF42B5">
      <w:pPr>
        <w:spacing w:after="0" w:line="240" w:lineRule="auto"/>
        <w:ind w:left="720" w:hanging="720"/>
        <w:jc w:val="both"/>
        <w:rPr>
          <w:rFonts w:asciiTheme="minorHAnsi" w:hAnsiTheme="minorHAnsi" w:cstheme="minorHAnsi"/>
          <w:sz w:val="20"/>
          <w:szCs w:val="20"/>
        </w:rPr>
      </w:pPr>
    </w:p>
    <w:p w14:paraId="7CE778A1" w14:textId="77777777" w:rsidR="008D0280" w:rsidRPr="00EF42B5" w:rsidRDefault="004A23E3" w:rsidP="00EF42B5">
      <w:pPr>
        <w:spacing w:after="0" w:line="240" w:lineRule="auto"/>
        <w:ind w:left="720" w:hanging="720"/>
        <w:jc w:val="both"/>
        <w:rPr>
          <w:rFonts w:asciiTheme="minorHAnsi" w:hAnsiTheme="minorHAnsi" w:cstheme="minorHAnsi"/>
          <w:sz w:val="20"/>
          <w:szCs w:val="20"/>
        </w:rPr>
      </w:pPr>
      <w:proofErr w:type="spellStart"/>
      <w:r w:rsidRPr="00EF42B5">
        <w:rPr>
          <w:rFonts w:asciiTheme="minorHAnsi" w:hAnsiTheme="minorHAnsi" w:cstheme="minorHAnsi"/>
          <w:sz w:val="20"/>
          <w:szCs w:val="20"/>
        </w:rPr>
        <w:t>Mintzberg</w:t>
      </w:r>
      <w:proofErr w:type="spellEnd"/>
      <w:r w:rsidRPr="00EF42B5">
        <w:rPr>
          <w:rFonts w:asciiTheme="minorHAnsi" w:hAnsiTheme="minorHAnsi" w:cstheme="minorHAnsi"/>
          <w:sz w:val="20"/>
          <w:szCs w:val="20"/>
        </w:rPr>
        <w:t xml:space="preserve">, H. (1989). </w:t>
      </w:r>
      <w:r w:rsidRPr="00EF42B5">
        <w:rPr>
          <w:rFonts w:asciiTheme="minorHAnsi" w:hAnsiTheme="minorHAnsi" w:cstheme="minorHAnsi"/>
          <w:i/>
          <w:sz w:val="20"/>
          <w:szCs w:val="20"/>
        </w:rPr>
        <w:t>Diseño de organizaciones eficientes</w:t>
      </w:r>
      <w:r w:rsidRPr="00EF42B5">
        <w:rPr>
          <w:rFonts w:asciiTheme="minorHAnsi" w:hAnsiTheme="minorHAnsi" w:cstheme="minorHAnsi"/>
          <w:sz w:val="20"/>
          <w:szCs w:val="20"/>
        </w:rPr>
        <w:t>. Editorial El ateneo.</w:t>
      </w:r>
    </w:p>
    <w:p w14:paraId="570BA67B" w14:textId="77777777" w:rsidR="008D0280" w:rsidRPr="00EF42B5" w:rsidRDefault="008D0280" w:rsidP="00EF42B5">
      <w:pPr>
        <w:spacing w:after="0" w:line="240" w:lineRule="auto"/>
        <w:ind w:left="720" w:hanging="720"/>
        <w:jc w:val="both"/>
        <w:rPr>
          <w:rFonts w:asciiTheme="minorHAnsi" w:hAnsiTheme="minorHAnsi" w:cstheme="minorHAnsi"/>
          <w:sz w:val="20"/>
          <w:szCs w:val="20"/>
        </w:rPr>
      </w:pPr>
    </w:p>
    <w:p w14:paraId="74FEAF65" w14:textId="77777777" w:rsidR="008D0280" w:rsidRPr="00EF42B5" w:rsidRDefault="004A23E3" w:rsidP="00EF42B5">
      <w:pPr>
        <w:spacing w:after="0" w:line="240" w:lineRule="auto"/>
        <w:ind w:left="720" w:hanging="720"/>
        <w:jc w:val="both"/>
        <w:rPr>
          <w:rFonts w:asciiTheme="minorHAnsi" w:hAnsiTheme="minorHAnsi" w:cstheme="minorHAnsi"/>
          <w:sz w:val="20"/>
          <w:szCs w:val="20"/>
          <w:highlight w:val="white"/>
        </w:rPr>
      </w:pPr>
      <w:proofErr w:type="spellStart"/>
      <w:r w:rsidRPr="00EF42B5">
        <w:rPr>
          <w:rFonts w:asciiTheme="minorHAnsi" w:hAnsiTheme="minorHAnsi" w:cstheme="minorHAnsi"/>
          <w:sz w:val="20"/>
          <w:szCs w:val="20"/>
          <w:highlight w:val="white"/>
        </w:rPr>
        <w:t>Mokate</w:t>
      </w:r>
      <w:proofErr w:type="spellEnd"/>
      <w:r w:rsidRPr="00EF42B5">
        <w:rPr>
          <w:rFonts w:asciiTheme="minorHAnsi" w:hAnsiTheme="minorHAnsi" w:cstheme="minorHAnsi"/>
          <w:sz w:val="20"/>
          <w:szCs w:val="20"/>
          <w:highlight w:val="white"/>
        </w:rPr>
        <w:t>, K. (2001). </w:t>
      </w:r>
      <w:r w:rsidRPr="00EF42B5">
        <w:rPr>
          <w:rFonts w:asciiTheme="minorHAnsi" w:hAnsiTheme="minorHAnsi" w:cstheme="minorHAnsi"/>
          <w:i/>
          <w:sz w:val="20"/>
          <w:szCs w:val="20"/>
          <w:highlight w:val="white"/>
        </w:rPr>
        <w:t>Eficacia, eficiencia, equidad y sostenibilidad: ¿qué queremos decir?</w:t>
      </w:r>
      <w:r w:rsidRPr="00EF42B5">
        <w:rPr>
          <w:rFonts w:asciiTheme="minorHAnsi" w:hAnsiTheme="minorHAnsi" w:cstheme="minorHAnsi"/>
          <w:sz w:val="20"/>
          <w:szCs w:val="20"/>
          <w:highlight w:val="white"/>
        </w:rPr>
        <w:t xml:space="preserve"> Departamento de Integración y Programas Regionales, Instituto Interamericano para el Desarrollo Social, Banco Interamericano de Desarrollo.</w:t>
      </w:r>
    </w:p>
    <w:p w14:paraId="699BB96A" w14:textId="77777777" w:rsidR="008D0280" w:rsidRPr="00EF42B5" w:rsidRDefault="008D0280" w:rsidP="00EF42B5">
      <w:pPr>
        <w:spacing w:after="0" w:line="240" w:lineRule="auto"/>
        <w:ind w:left="720" w:hanging="720"/>
        <w:jc w:val="both"/>
        <w:rPr>
          <w:rFonts w:asciiTheme="minorHAnsi" w:hAnsiTheme="minorHAnsi" w:cstheme="minorHAnsi"/>
          <w:sz w:val="20"/>
          <w:szCs w:val="20"/>
        </w:rPr>
      </w:pPr>
    </w:p>
    <w:p w14:paraId="1624FDF0" w14:textId="77777777" w:rsidR="008D0280" w:rsidRPr="00EF42B5" w:rsidRDefault="004A23E3" w:rsidP="00EF42B5">
      <w:pPr>
        <w:spacing w:after="0" w:line="240" w:lineRule="auto"/>
        <w:ind w:left="720" w:hanging="720"/>
        <w:jc w:val="both"/>
        <w:rPr>
          <w:rFonts w:asciiTheme="minorHAnsi" w:hAnsiTheme="minorHAnsi" w:cstheme="minorHAnsi"/>
          <w:sz w:val="20"/>
          <w:szCs w:val="20"/>
        </w:rPr>
      </w:pPr>
      <w:r w:rsidRPr="00EF42B5">
        <w:rPr>
          <w:rFonts w:asciiTheme="minorHAnsi" w:hAnsiTheme="minorHAnsi" w:cstheme="minorHAnsi"/>
          <w:sz w:val="20"/>
          <w:szCs w:val="20"/>
        </w:rPr>
        <w:t xml:space="preserve">Mora-Pisco, L. L., Duran Vasco, M. E. y Zambrano-Loor, J. G. (2016). Consideraciones actuales sobre la gestión empresarial. </w:t>
      </w:r>
      <w:r w:rsidRPr="00EF42B5">
        <w:rPr>
          <w:rFonts w:asciiTheme="minorHAnsi" w:hAnsiTheme="minorHAnsi" w:cstheme="minorHAnsi"/>
          <w:i/>
          <w:sz w:val="20"/>
          <w:szCs w:val="20"/>
        </w:rPr>
        <w:t>Dominio de las ciencias</w:t>
      </w:r>
      <w:r w:rsidRPr="00EF42B5">
        <w:rPr>
          <w:rFonts w:asciiTheme="minorHAnsi" w:hAnsiTheme="minorHAnsi" w:cstheme="minorHAnsi"/>
          <w:sz w:val="20"/>
          <w:szCs w:val="20"/>
        </w:rPr>
        <w:t xml:space="preserve">, </w:t>
      </w:r>
      <w:r w:rsidRPr="00EF42B5">
        <w:rPr>
          <w:rFonts w:asciiTheme="minorHAnsi" w:hAnsiTheme="minorHAnsi" w:cstheme="minorHAnsi"/>
          <w:i/>
          <w:sz w:val="20"/>
          <w:szCs w:val="20"/>
        </w:rPr>
        <w:t>2</w:t>
      </w:r>
      <w:r w:rsidRPr="00EF42B5">
        <w:rPr>
          <w:rFonts w:asciiTheme="minorHAnsi" w:hAnsiTheme="minorHAnsi" w:cstheme="minorHAnsi"/>
          <w:sz w:val="20"/>
          <w:szCs w:val="20"/>
        </w:rPr>
        <w:t>(4), 511-520.</w:t>
      </w:r>
    </w:p>
    <w:p w14:paraId="242E9F47" w14:textId="77777777" w:rsidR="008D0280" w:rsidRPr="00EF42B5" w:rsidRDefault="008D0280" w:rsidP="00EF42B5">
      <w:pPr>
        <w:spacing w:after="0" w:line="240" w:lineRule="auto"/>
        <w:ind w:left="720" w:hanging="720"/>
        <w:jc w:val="both"/>
        <w:rPr>
          <w:rFonts w:asciiTheme="minorHAnsi" w:hAnsiTheme="minorHAnsi" w:cstheme="minorHAnsi"/>
          <w:sz w:val="20"/>
          <w:szCs w:val="20"/>
        </w:rPr>
      </w:pPr>
    </w:p>
    <w:p w14:paraId="2BA13E63" w14:textId="77777777" w:rsidR="008D0280" w:rsidRPr="00EF42B5" w:rsidRDefault="004A23E3" w:rsidP="00EF42B5">
      <w:pPr>
        <w:spacing w:after="0" w:line="240" w:lineRule="auto"/>
        <w:ind w:left="720" w:hanging="720"/>
        <w:jc w:val="both"/>
        <w:rPr>
          <w:rFonts w:asciiTheme="minorHAnsi" w:hAnsiTheme="minorHAnsi" w:cstheme="minorHAnsi"/>
          <w:sz w:val="20"/>
          <w:szCs w:val="20"/>
          <w:lang w:val="en-US"/>
        </w:rPr>
      </w:pPr>
      <w:proofErr w:type="spellStart"/>
      <w:r w:rsidRPr="00EF42B5">
        <w:rPr>
          <w:rFonts w:asciiTheme="minorHAnsi" w:hAnsiTheme="minorHAnsi" w:cstheme="minorHAnsi"/>
          <w:sz w:val="20"/>
          <w:szCs w:val="20"/>
        </w:rPr>
        <w:t>Niven</w:t>
      </w:r>
      <w:proofErr w:type="spellEnd"/>
      <w:r w:rsidRPr="00EF42B5">
        <w:rPr>
          <w:rFonts w:asciiTheme="minorHAnsi" w:hAnsiTheme="minorHAnsi" w:cstheme="minorHAnsi"/>
          <w:sz w:val="20"/>
          <w:szCs w:val="20"/>
        </w:rPr>
        <w:t xml:space="preserve">, P. R. (2004). </w:t>
      </w:r>
      <w:r w:rsidRPr="00EF42B5">
        <w:rPr>
          <w:rFonts w:asciiTheme="minorHAnsi" w:hAnsiTheme="minorHAnsi" w:cstheme="minorHAnsi"/>
          <w:i/>
          <w:sz w:val="20"/>
          <w:szCs w:val="20"/>
        </w:rPr>
        <w:t xml:space="preserve">El Cuadro de Mando Integral </w:t>
      </w:r>
      <w:proofErr w:type="gramStart"/>
      <w:r w:rsidRPr="00EF42B5">
        <w:rPr>
          <w:rFonts w:asciiTheme="minorHAnsi" w:hAnsiTheme="minorHAnsi" w:cstheme="minorHAnsi"/>
          <w:i/>
          <w:sz w:val="20"/>
          <w:szCs w:val="20"/>
        </w:rPr>
        <w:t>paso</w:t>
      </w:r>
      <w:proofErr w:type="gramEnd"/>
      <w:r w:rsidRPr="00EF42B5">
        <w:rPr>
          <w:rFonts w:asciiTheme="minorHAnsi" w:hAnsiTheme="minorHAnsi" w:cstheme="minorHAnsi"/>
          <w:i/>
          <w:sz w:val="20"/>
          <w:szCs w:val="20"/>
        </w:rPr>
        <w:t xml:space="preserve"> a paso</w:t>
      </w:r>
      <w:r w:rsidRPr="00EF42B5">
        <w:rPr>
          <w:rFonts w:asciiTheme="minorHAnsi" w:hAnsiTheme="minorHAnsi" w:cstheme="minorHAnsi"/>
          <w:sz w:val="20"/>
          <w:szCs w:val="20"/>
        </w:rPr>
        <w:t xml:space="preserve">. </w:t>
      </w:r>
      <w:proofErr w:type="spellStart"/>
      <w:proofErr w:type="gramStart"/>
      <w:r w:rsidRPr="00EF42B5">
        <w:rPr>
          <w:rFonts w:asciiTheme="minorHAnsi" w:hAnsiTheme="minorHAnsi" w:cstheme="minorHAnsi"/>
          <w:sz w:val="20"/>
          <w:szCs w:val="20"/>
          <w:lang w:val="en-US"/>
        </w:rPr>
        <w:t>Gestión</w:t>
      </w:r>
      <w:proofErr w:type="spellEnd"/>
      <w:r w:rsidRPr="00EF42B5">
        <w:rPr>
          <w:rFonts w:asciiTheme="minorHAnsi" w:hAnsiTheme="minorHAnsi" w:cstheme="minorHAnsi"/>
          <w:sz w:val="20"/>
          <w:szCs w:val="20"/>
          <w:lang w:val="en-US"/>
        </w:rPr>
        <w:t xml:space="preserve"> 2000.</w:t>
      </w:r>
      <w:proofErr w:type="gramEnd"/>
    </w:p>
    <w:p w14:paraId="63E31C67" w14:textId="77777777" w:rsidR="008D0280" w:rsidRPr="00EF42B5" w:rsidRDefault="008D0280" w:rsidP="00EF42B5">
      <w:pPr>
        <w:spacing w:after="0" w:line="240" w:lineRule="auto"/>
        <w:ind w:left="720" w:hanging="720"/>
        <w:jc w:val="both"/>
        <w:rPr>
          <w:rFonts w:asciiTheme="minorHAnsi" w:hAnsiTheme="minorHAnsi" w:cstheme="minorHAnsi"/>
          <w:sz w:val="20"/>
          <w:szCs w:val="20"/>
          <w:lang w:val="en-US"/>
        </w:rPr>
      </w:pPr>
    </w:p>
    <w:p w14:paraId="1AC57D5A" w14:textId="77777777" w:rsidR="008D0280" w:rsidRPr="00EF42B5" w:rsidRDefault="004A23E3" w:rsidP="00EF42B5">
      <w:pPr>
        <w:keepNext/>
        <w:keepLines/>
        <w:pBdr>
          <w:top w:val="nil"/>
          <w:left w:val="nil"/>
          <w:bottom w:val="nil"/>
          <w:right w:val="nil"/>
          <w:between w:val="nil"/>
        </w:pBdr>
        <w:spacing w:after="0" w:line="240" w:lineRule="auto"/>
        <w:ind w:left="720" w:hanging="720"/>
        <w:jc w:val="both"/>
        <w:rPr>
          <w:rFonts w:asciiTheme="minorHAnsi" w:hAnsiTheme="minorHAnsi" w:cstheme="minorHAnsi"/>
          <w:color w:val="000000"/>
          <w:sz w:val="20"/>
          <w:szCs w:val="20"/>
          <w:lang w:val="en-US"/>
        </w:rPr>
      </w:pPr>
      <w:proofErr w:type="gramStart"/>
      <w:r w:rsidRPr="00EF42B5">
        <w:rPr>
          <w:rFonts w:asciiTheme="minorHAnsi" w:hAnsiTheme="minorHAnsi" w:cstheme="minorHAnsi"/>
          <w:color w:val="000000"/>
          <w:sz w:val="20"/>
          <w:szCs w:val="20"/>
          <w:lang w:val="en-US"/>
        </w:rPr>
        <w:t>Porter, M. (1996).</w:t>
      </w:r>
      <w:proofErr w:type="gramEnd"/>
      <w:r w:rsidRPr="00EF42B5">
        <w:rPr>
          <w:rFonts w:asciiTheme="minorHAnsi" w:hAnsiTheme="minorHAnsi" w:cstheme="minorHAnsi"/>
          <w:color w:val="000000"/>
          <w:sz w:val="20"/>
          <w:szCs w:val="20"/>
          <w:lang w:val="en-US"/>
        </w:rPr>
        <w:t xml:space="preserve"> ¿What is strategy? </w:t>
      </w:r>
      <w:r w:rsidRPr="00EF42B5">
        <w:rPr>
          <w:rFonts w:asciiTheme="minorHAnsi" w:hAnsiTheme="minorHAnsi" w:cstheme="minorHAnsi"/>
          <w:i/>
          <w:color w:val="000000"/>
          <w:sz w:val="20"/>
          <w:szCs w:val="20"/>
          <w:lang w:val="en-US"/>
        </w:rPr>
        <w:t>Harvard business review</w:t>
      </w:r>
      <w:r w:rsidRPr="00EF42B5">
        <w:rPr>
          <w:rFonts w:asciiTheme="minorHAnsi" w:hAnsiTheme="minorHAnsi" w:cstheme="minorHAnsi"/>
          <w:color w:val="000000"/>
          <w:sz w:val="20"/>
          <w:szCs w:val="20"/>
          <w:lang w:val="en-US"/>
        </w:rPr>
        <w:t xml:space="preserve">, </w:t>
      </w:r>
      <w:r w:rsidRPr="00EF42B5">
        <w:rPr>
          <w:rFonts w:asciiTheme="minorHAnsi" w:hAnsiTheme="minorHAnsi" w:cstheme="minorHAnsi"/>
          <w:i/>
          <w:color w:val="000000"/>
          <w:sz w:val="20"/>
          <w:szCs w:val="20"/>
          <w:lang w:val="en-US"/>
        </w:rPr>
        <w:t>2</w:t>
      </w:r>
      <w:r w:rsidRPr="00EF42B5">
        <w:rPr>
          <w:rFonts w:asciiTheme="minorHAnsi" w:hAnsiTheme="minorHAnsi" w:cstheme="minorHAnsi"/>
          <w:color w:val="000000"/>
          <w:sz w:val="20"/>
          <w:szCs w:val="20"/>
          <w:lang w:val="en-US"/>
        </w:rPr>
        <w:t>, 61-78.</w:t>
      </w:r>
    </w:p>
    <w:p w14:paraId="2566A8AF" w14:textId="77777777" w:rsidR="008D0280" w:rsidRPr="00EF42B5" w:rsidRDefault="008D0280" w:rsidP="00EF42B5">
      <w:pPr>
        <w:keepNext/>
        <w:keepLines/>
        <w:pBdr>
          <w:top w:val="nil"/>
          <w:left w:val="nil"/>
          <w:bottom w:val="nil"/>
          <w:right w:val="nil"/>
          <w:between w:val="nil"/>
        </w:pBdr>
        <w:spacing w:after="0" w:line="240" w:lineRule="auto"/>
        <w:ind w:left="720" w:hanging="720"/>
        <w:jc w:val="both"/>
        <w:rPr>
          <w:rFonts w:asciiTheme="minorHAnsi" w:hAnsiTheme="minorHAnsi" w:cstheme="minorHAnsi"/>
          <w:color w:val="000000"/>
          <w:sz w:val="20"/>
          <w:szCs w:val="20"/>
          <w:lang w:val="en-US"/>
        </w:rPr>
      </w:pPr>
    </w:p>
    <w:p w14:paraId="6E6203E2" w14:textId="77777777" w:rsidR="008D0280" w:rsidRPr="00EF42B5" w:rsidRDefault="004A23E3" w:rsidP="00EF42B5">
      <w:pPr>
        <w:keepNext/>
        <w:keepLines/>
        <w:pBdr>
          <w:top w:val="nil"/>
          <w:left w:val="nil"/>
          <w:bottom w:val="nil"/>
          <w:right w:val="nil"/>
          <w:between w:val="nil"/>
        </w:pBdr>
        <w:spacing w:after="0" w:line="240" w:lineRule="auto"/>
        <w:ind w:left="720" w:hanging="720"/>
        <w:jc w:val="both"/>
        <w:rPr>
          <w:rFonts w:asciiTheme="minorHAnsi" w:hAnsiTheme="minorHAnsi" w:cstheme="minorHAnsi"/>
          <w:color w:val="000000"/>
          <w:sz w:val="20"/>
          <w:szCs w:val="20"/>
          <w:highlight w:val="white"/>
        </w:rPr>
      </w:pPr>
      <w:r w:rsidRPr="009641F9">
        <w:rPr>
          <w:rFonts w:asciiTheme="minorHAnsi" w:hAnsiTheme="minorHAnsi" w:cstheme="minorHAnsi"/>
          <w:color w:val="000000"/>
          <w:sz w:val="20"/>
          <w:szCs w:val="20"/>
          <w:highlight w:val="white"/>
        </w:rPr>
        <w:t xml:space="preserve">Quintero, J. y Sánchez, J. (2006). </w:t>
      </w:r>
      <w:r w:rsidRPr="00EF42B5">
        <w:rPr>
          <w:rFonts w:asciiTheme="minorHAnsi" w:hAnsiTheme="minorHAnsi" w:cstheme="minorHAnsi"/>
          <w:color w:val="000000"/>
          <w:sz w:val="20"/>
          <w:szCs w:val="20"/>
          <w:highlight w:val="white"/>
        </w:rPr>
        <w:t>La cadena de valor: Una herramienta del pensamiento estratégico. </w:t>
      </w:r>
      <w:proofErr w:type="spellStart"/>
      <w:r w:rsidRPr="00EF42B5">
        <w:rPr>
          <w:rFonts w:asciiTheme="minorHAnsi" w:hAnsiTheme="minorHAnsi" w:cstheme="minorHAnsi"/>
          <w:i/>
          <w:color w:val="000000"/>
          <w:sz w:val="20"/>
          <w:szCs w:val="20"/>
          <w:highlight w:val="white"/>
        </w:rPr>
        <w:t>Telos</w:t>
      </w:r>
      <w:proofErr w:type="spellEnd"/>
      <w:r w:rsidRPr="00EF42B5">
        <w:rPr>
          <w:rFonts w:asciiTheme="minorHAnsi" w:hAnsiTheme="minorHAnsi" w:cstheme="minorHAnsi"/>
          <w:color w:val="000000"/>
          <w:sz w:val="20"/>
          <w:szCs w:val="20"/>
          <w:highlight w:val="white"/>
        </w:rPr>
        <w:t>, </w:t>
      </w:r>
      <w:r w:rsidRPr="00EF42B5">
        <w:rPr>
          <w:rFonts w:asciiTheme="minorHAnsi" w:hAnsiTheme="minorHAnsi" w:cstheme="minorHAnsi"/>
          <w:i/>
          <w:color w:val="000000"/>
          <w:sz w:val="20"/>
          <w:szCs w:val="20"/>
          <w:highlight w:val="white"/>
        </w:rPr>
        <w:t>8</w:t>
      </w:r>
      <w:r w:rsidRPr="00EF42B5">
        <w:rPr>
          <w:rFonts w:asciiTheme="minorHAnsi" w:hAnsiTheme="minorHAnsi" w:cstheme="minorHAnsi"/>
          <w:color w:val="000000"/>
          <w:sz w:val="20"/>
          <w:szCs w:val="20"/>
          <w:highlight w:val="white"/>
        </w:rPr>
        <w:t>(3), 377-389.</w:t>
      </w:r>
    </w:p>
    <w:p w14:paraId="413BEBCA" w14:textId="77777777" w:rsidR="008D0280" w:rsidRPr="00EF42B5" w:rsidRDefault="008D0280" w:rsidP="00EF42B5">
      <w:pPr>
        <w:keepNext/>
        <w:keepLines/>
        <w:pBdr>
          <w:top w:val="nil"/>
          <w:left w:val="nil"/>
          <w:bottom w:val="nil"/>
          <w:right w:val="nil"/>
          <w:between w:val="nil"/>
        </w:pBdr>
        <w:spacing w:after="0" w:line="240" w:lineRule="auto"/>
        <w:ind w:left="720" w:hanging="720"/>
        <w:jc w:val="both"/>
        <w:rPr>
          <w:rFonts w:asciiTheme="minorHAnsi" w:hAnsiTheme="minorHAnsi" w:cstheme="minorHAnsi"/>
          <w:color w:val="000000"/>
          <w:sz w:val="20"/>
          <w:szCs w:val="20"/>
        </w:rPr>
      </w:pPr>
    </w:p>
    <w:sectPr w:rsidR="008D0280" w:rsidRPr="00EF42B5">
      <w:pgSz w:w="11906" w:h="16838"/>
      <w:pgMar w:top="1417" w:right="1701"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Roboto">
    <w:altName w:val="Arial"/>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280"/>
    <w:rsid w:val="00250927"/>
    <w:rsid w:val="00481083"/>
    <w:rsid w:val="004A23E3"/>
    <w:rsid w:val="008D0280"/>
    <w:rsid w:val="009641F9"/>
    <w:rsid w:val="00B472AE"/>
    <w:rsid w:val="00CA37D4"/>
    <w:rsid w:val="00D30EAA"/>
    <w:rsid w:val="00ED7BBA"/>
    <w:rsid w:val="00EF42B5"/>
    <w:rsid w:val="00FD19A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80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s-AR" w:eastAsia="es-ES_tradn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link w:val="Ttulo4Car"/>
    <w:uiPriority w:val="9"/>
    <w:semiHidden/>
    <w:unhideWhenUsed/>
    <w:qFormat/>
    <w:rsid w:val="0013688F"/>
    <w:pPr>
      <w:spacing w:before="100" w:beforeAutospacing="1" w:after="100" w:afterAutospacing="1" w:line="240" w:lineRule="auto"/>
      <w:outlineLvl w:val="3"/>
    </w:pPr>
    <w:rPr>
      <w:rFonts w:ascii="Times New Roman" w:eastAsia="Times New Roman" w:hAnsi="Times New Roman" w:cs="Times New Roman"/>
      <w:b/>
      <w:bCs/>
      <w:sz w:val="24"/>
      <w:szCs w:val="24"/>
      <w:lang w:eastAsia="es-AR"/>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HTMLconformatoprevio">
    <w:name w:val="HTML Preformatted"/>
    <w:basedOn w:val="Normal"/>
    <w:link w:val="HTMLconformatoprevioCar"/>
    <w:uiPriority w:val="99"/>
    <w:unhideWhenUsed/>
    <w:rsid w:val="004E6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AR"/>
    </w:rPr>
  </w:style>
  <w:style w:type="character" w:customStyle="1" w:styleId="HTMLconformatoprevioCar">
    <w:name w:val="HTML con formato previo Car"/>
    <w:basedOn w:val="Fuentedeprrafopredeter"/>
    <w:link w:val="HTMLconformatoprevio"/>
    <w:uiPriority w:val="99"/>
    <w:rsid w:val="004E68F5"/>
    <w:rPr>
      <w:rFonts w:ascii="Courier New" w:eastAsia="Times New Roman" w:hAnsi="Courier New" w:cs="Courier New"/>
      <w:sz w:val="20"/>
      <w:szCs w:val="20"/>
      <w:lang w:eastAsia="es-AR"/>
    </w:rPr>
  </w:style>
  <w:style w:type="paragraph" w:styleId="Prrafodelista">
    <w:name w:val="List Paragraph"/>
    <w:basedOn w:val="Normal"/>
    <w:uiPriority w:val="34"/>
    <w:qFormat/>
    <w:rsid w:val="006C4446"/>
    <w:pPr>
      <w:ind w:left="720"/>
      <w:contextualSpacing/>
    </w:pPr>
  </w:style>
  <w:style w:type="paragraph" w:styleId="Textonotapie">
    <w:name w:val="footnote text"/>
    <w:basedOn w:val="Normal"/>
    <w:link w:val="TextonotapieCar"/>
    <w:unhideWhenUsed/>
    <w:rsid w:val="000605B3"/>
    <w:pPr>
      <w:spacing w:after="0" w:line="240" w:lineRule="auto"/>
    </w:pPr>
    <w:rPr>
      <w:sz w:val="20"/>
      <w:szCs w:val="20"/>
    </w:rPr>
  </w:style>
  <w:style w:type="character" w:customStyle="1" w:styleId="TextonotapieCar">
    <w:name w:val="Texto nota pie Car"/>
    <w:basedOn w:val="Fuentedeprrafopredeter"/>
    <w:link w:val="Textonotapie"/>
    <w:uiPriority w:val="99"/>
    <w:rsid w:val="000605B3"/>
    <w:rPr>
      <w:sz w:val="20"/>
      <w:szCs w:val="20"/>
    </w:rPr>
  </w:style>
  <w:style w:type="character" w:styleId="Refdenotaalpie">
    <w:name w:val="footnote reference"/>
    <w:basedOn w:val="Fuentedeprrafopredeter"/>
    <w:semiHidden/>
    <w:unhideWhenUsed/>
    <w:rsid w:val="000605B3"/>
    <w:rPr>
      <w:vertAlign w:val="superscript"/>
    </w:rPr>
  </w:style>
  <w:style w:type="character" w:customStyle="1" w:styleId="apple-converted-space">
    <w:name w:val="apple-converted-space"/>
    <w:basedOn w:val="Fuentedeprrafopredeter"/>
    <w:rsid w:val="004F174E"/>
  </w:style>
  <w:style w:type="character" w:styleId="nfasis">
    <w:name w:val="Emphasis"/>
    <w:basedOn w:val="Fuentedeprrafopredeter"/>
    <w:uiPriority w:val="20"/>
    <w:qFormat/>
    <w:rsid w:val="004F174E"/>
    <w:rPr>
      <w:i/>
      <w:iCs/>
    </w:rPr>
  </w:style>
  <w:style w:type="character" w:styleId="Hipervnculo">
    <w:name w:val="Hyperlink"/>
    <w:basedOn w:val="Fuentedeprrafopredeter"/>
    <w:uiPriority w:val="99"/>
    <w:unhideWhenUsed/>
    <w:rsid w:val="004F174E"/>
    <w:rPr>
      <w:color w:val="5F5F5F" w:themeColor="hyperlink"/>
      <w:u w:val="single"/>
    </w:rPr>
  </w:style>
  <w:style w:type="character" w:styleId="Textoennegrita">
    <w:name w:val="Strong"/>
    <w:basedOn w:val="Fuentedeprrafopredeter"/>
    <w:uiPriority w:val="22"/>
    <w:qFormat/>
    <w:rsid w:val="00A47978"/>
    <w:rPr>
      <w:b/>
      <w:bCs/>
    </w:rPr>
  </w:style>
  <w:style w:type="character" w:styleId="Hipervnculovisitado">
    <w:name w:val="FollowedHyperlink"/>
    <w:basedOn w:val="Fuentedeprrafopredeter"/>
    <w:uiPriority w:val="99"/>
    <w:semiHidden/>
    <w:unhideWhenUsed/>
    <w:rsid w:val="004C021F"/>
    <w:rPr>
      <w:color w:val="919191" w:themeColor="followedHyperlink"/>
      <w:u w:val="single"/>
    </w:rPr>
  </w:style>
  <w:style w:type="paragraph" w:customStyle="1" w:styleId="Default">
    <w:name w:val="Default"/>
    <w:rsid w:val="004E0691"/>
    <w:pPr>
      <w:autoSpaceDE w:val="0"/>
      <w:autoSpaceDN w:val="0"/>
      <w:adjustRightInd w:val="0"/>
      <w:spacing w:after="0" w:line="240" w:lineRule="auto"/>
    </w:pPr>
    <w:rPr>
      <w:rFonts w:ascii="Times New Roman" w:hAnsi="Times New Roman" w:cs="Times New Roman"/>
      <w:color w:val="000000"/>
      <w:sz w:val="24"/>
      <w:szCs w:val="24"/>
    </w:rPr>
  </w:style>
  <w:style w:type="paragraph" w:styleId="Encabezado">
    <w:name w:val="header"/>
    <w:basedOn w:val="Normal"/>
    <w:link w:val="EncabezadoCar"/>
    <w:uiPriority w:val="99"/>
    <w:unhideWhenUsed/>
    <w:rsid w:val="00EE2FE8"/>
    <w:pPr>
      <w:tabs>
        <w:tab w:val="center" w:pos="4252"/>
        <w:tab w:val="right" w:pos="8504"/>
      </w:tabs>
      <w:spacing w:after="0" w:line="240" w:lineRule="auto"/>
    </w:pPr>
    <w:rPr>
      <w:lang w:val="es-ES_tradnl"/>
    </w:rPr>
  </w:style>
  <w:style w:type="character" w:customStyle="1" w:styleId="EncabezadoCar">
    <w:name w:val="Encabezado Car"/>
    <w:basedOn w:val="Fuentedeprrafopredeter"/>
    <w:link w:val="Encabezado"/>
    <w:uiPriority w:val="99"/>
    <w:rsid w:val="00EE2FE8"/>
    <w:rPr>
      <w:lang w:val="es-ES_tradnl"/>
    </w:rPr>
  </w:style>
  <w:style w:type="character" w:customStyle="1" w:styleId="citation">
    <w:name w:val="citation"/>
    <w:basedOn w:val="Fuentedeprrafopredeter"/>
    <w:rsid w:val="0013688F"/>
  </w:style>
  <w:style w:type="character" w:customStyle="1" w:styleId="reference-accessdate">
    <w:name w:val="reference-accessdate"/>
    <w:basedOn w:val="Fuentedeprrafopredeter"/>
    <w:rsid w:val="0013688F"/>
  </w:style>
  <w:style w:type="character" w:customStyle="1" w:styleId="mw-cite-backlink">
    <w:name w:val="mw-cite-backlink"/>
    <w:basedOn w:val="Fuentedeprrafopredeter"/>
    <w:rsid w:val="0013688F"/>
  </w:style>
  <w:style w:type="character" w:customStyle="1" w:styleId="Ttulo4Car">
    <w:name w:val="Título 4 Car"/>
    <w:basedOn w:val="Fuentedeprrafopredeter"/>
    <w:link w:val="Ttulo4"/>
    <w:uiPriority w:val="9"/>
    <w:rsid w:val="0013688F"/>
    <w:rPr>
      <w:rFonts w:ascii="Times New Roman" w:eastAsia="Times New Roman" w:hAnsi="Times New Roman" w:cs="Times New Roman"/>
      <w:b/>
      <w:bCs/>
      <w:sz w:val="24"/>
      <w:szCs w:val="24"/>
      <w:lang w:eastAsia="es-AR"/>
    </w:rPr>
  </w:style>
  <w:style w:type="paragraph" w:styleId="NormalWeb">
    <w:name w:val="Normal (Web)"/>
    <w:basedOn w:val="Normal"/>
    <w:uiPriority w:val="99"/>
    <w:semiHidden/>
    <w:unhideWhenUsed/>
    <w:rsid w:val="0013688F"/>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Textodeglobo">
    <w:name w:val="Balloon Text"/>
    <w:basedOn w:val="Normal"/>
    <w:link w:val="TextodegloboCar"/>
    <w:uiPriority w:val="99"/>
    <w:semiHidden/>
    <w:unhideWhenUsed/>
    <w:rsid w:val="003447A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447AA"/>
    <w:rPr>
      <w:rFonts w:ascii="Tahoma" w:hAnsi="Tahoma" w:cs="Tahoma"/>
      <w:sz w:val="16"/>
      <w:szCs w:val="16"/>
    </w:rPr>
  </w:style>
  <w:style w:type="character" w:styleId="Refdecomentario">
    <w:name w:val="annotation reference"/>
    <w:basedOn w:val="Fuentedeprrafopredeter"/>
    <w:uiPriority w:val="99"/>
    <w:semiHidden/>
    <w:unhideWhenUsed/>
    <w:rsid w:val="004B5856"/>
    <w:rPr>
      <w:sz w:val="16"/>
      <w:szCs w:val="16"/>
    </w:rPr>
  </w:style>
  <w:style w:type="paragraph" w:styleId="Textocomentario">
    <w:name w:val="annotation text"/>
    <w:basedOn w:val="Normal"/>
    <w:link w:val="TextocomentarioCar"/>
    <w:uiPriority w:val="99"/>
    <w:semiHidden/>
    <w:unhideWhenUsed/>
    <w:rsid w:val="004B585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B5856"/>
    <w:rPr>
      <w:sz w:val="20"/>
      <w:szCs w:val="20"/>
    </w:rPr>
  </w:style>
  <w:style w:type="paragraph" w:styleId="Asuntodelcomentario">
    <w:name w:val="annotation subject"/>
    <w:basedOn w:val="Textocomentario"/>
    <w:next w:val="Textocomentario"/>
    <w:link w:val="AsuntodelcomentarioCar"/>
    <w:uiPriority w:val="99"/>
    <w:semiHidden/>
    <w:unhideWhenUsed/>
    <w:rsid w:val="004B5856"/>
    <w:rPr>
      <w:b/>
      <w:bCs/>
    </w:rPr>
  </w:style>
  <w:style w:type="character" w:customStyle="1" w:styleId="AsuntodelcomentarioCar">
    <w:name w:val="Asunto del comentario Car"/>
    <w:basedOn w:val="TextocomentarioCar"/>
    <w:link w:val="Asuntodelcomentario"/>
    <w:uiPriority w:val="99"/>
    <w:semiHidden/>
    <w:rsid w:val="004B5856"/>
    <w:rPr>
      <w:b/>
      <w:bCs/>
      <w:sz w:val="20"/>
      <w:szCs w:val="20"/>
    </w:rPr>
  </w:style>
  <w:style w:type="character" w:customStyle="1" w:styleId="fundeu-field">
    <w:name w:val="fundeu-field"/>
    <w:basedOn w:val="Fuentedeprrafopredeter"/>
    <w:rsid w:val="00584EAE"/>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s-AR" w:eastAsia="es-ES_tradn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link w:val="Ttulo4Car"/>
    <w:uiPriority w:val="9"/>
    <w:semiHidden/>
    <w:unhideWhenUsed/>
    <w:qFormat/>
    <w:rsid w:val="0013688F"/>
    <w:pPr>
      <w:spacing w:before="100" w:beforeAutospacing="1" w:after="100" w:afterAutospacing="1" w:line="240" w:lineRule="auto"/>
      <w:outlineLvl w:val="3"/>
    </w:pPr>
    <w:rPr>
      <w:rFonts w:ascii="Times New Roman" w:eastAsia="Times New Roman" w:hAnsi="Times New Roman" w:cs="Times New Roman"/>
      <w:b/>
      <w:bCs/>
      <w:sz w:val="24"/>
      <w:szCs w:val="24"/>
      <w:lang w:eastAsia="es-AR"/>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HTMLconformatoprevio">
    <w:name w:val="HTML Preformatted"/>
    <w:basedOn w:val="Normal"/>
    <w:link w:val="HTMLconformatoprevioCar"/>
    <w:uiPriority w:val="99"/>
    <w:unhideWhenUsed/>
    <w:rsid w:val="004E6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AR"/>
    </w:rPr>
  </w:style>
  <w:style w:type="character" w:customStyle="1" w:styleId="HTMLconformatoprevioCar">
    <w:name w:val="HTML con formato previo Car"/>
    <w:basedOn w:val="Fuentedeprrafopredeter"/>
    <w:link w:val="HTMLconformatoprevio"/>
    <w:uiPriority w:val="99"/>
    <w:rsid w:val="004E68F5"/>
    <w:rPr>
      <w:rFonts w:ascii="Courier New" w:eastAsia="Times New Roman" w:hAnsi="Courier New" w:cs="Courier New"/>
      <w:sz w:val="20"/>
      <w:szCs w:val="20"/>
      <w:lang w:eastAsia="es-AR"/>
    </w:rPr>
  </w:style>
  <w:style w:type="paragraph" w:styleId="Prrafodelista">
    <w:name w:val="List Paragraph"/>
    <w:basedOn w:val="Normal"/>
    <w:uiPriority w:val="34"/>
    <w:qFormat/>
    <w:rsid w:val="006C4446"/>
    <w:pPr>
      <w:ind w:left="720"/>
      <w:contextualSpacing/>
    </w:pPr>
  </w:style>
  <w:style w:type="paragraph" w:styleId="Textonotapie">
    <w:name w:val="footnote text"/>
    <w:basedOn w:val="Normal"/>
    <w:link w:val="TextonotapieCar"/>
    <w:unhideWhenUsed/>
    <w:rsid w:val="000605B3"/>
    <w:pPr>
      <w:spacing w:after="0" w:line="240" w:lineRule="auto"/>
    </w:pPr>
    <w:rPr>
      <w:sz w:val="20"/>
      <w:szCs w:val="20"/>
    </w:rPr>
  </w:style>
  <w:style w:type="character" w:customStyle="1" w:styleId="TextonotapieCar">
    <w:name w:val="Texto nota pie Car"/>
    <w:basedOn w:val="Fuentedeprrafopredeter"/>
    <w:link w:val="Textonotapie"/>
    <w:uiPriority w:val="99"/>
    <w:rsid w:val="000605B3"/>
    <w:rPr>
      <w:sz w:val="20"/>
      <w:szCs w:val="20"/>
    </w:rPr>
  </w:style>
  <w:style w:type="character" w:styleId="Refdenotaalpie">
    <w:name w:val="footnote reference"/>
    <w:basedOn w:val="Fuentedeprrafopredeter"/>
    <w:semiHidden/>
    <w:unhideWhenUsed/>
    <w:rsid w:val="000605B3"/>
    <w:rPr>
      <w:vertAlign w:val="superscript"/>
    </w:rPr>
  </w:style>
  <w:style w:type="character" w:customStyle="1" w:styleId="apple-converted-space">
    <w:name w:val="apple-converted-space"/>
    <w:basedOn w:val="Fuentedeprrafopredeter"/>
    <w:rsid w:val="004F174E"/>
  </w:style>
  <w:style w:type="character" w:styleId="nfasis">
    <w:name w:val="Emphasis"/>
    <w:basedOn w:val="Fuentedeprrafopredeter"/>
    <w:uiPriority w:val="20"/>
    <w:qFormat/>
    <w:rsid w:val="004F174E"/>
    <w:rPr>
      <w:i/>
      <w:iCs/>
    </w:rPr>
  </w:style>
  <w:style w:type="character" w:styleId="Hipervnculo">
    <w:name w:val="Hyperlink"/>
    <w:basedOn w:val="Fuentedeprrafopredeter"/>
    <w:uiPriority w:val="99"/>
    <w:unhideWhenUsed/>
    <w:rsid w:val="004F174E"/>
    <w:rPr>
      <w:color w:val="5F5F5F" w:themeColor="hyperlink"/>
      <w:u w:val="single"/>
    </w:rPr>
  </w:style>
  <w:style w:type="character" w:styleId="Textoennegrita">
    <w:name w:val="Strong"/>
    <w:basedOn w:val="Fuentedeprrafopredeter"/>
    <w:uiPriority w:val="22"/>
    <w:qFormat/>
    <w:rsid w:val="00A47978"/>
    <w:rPr>
      <w:b/>
      <w:bCs/>
    </w:rPr>
  </w:style>
  <w:style w:type="character" w:styleId="Hipervnculovisitado">
    <w:name w:val="FollowedHyperlink"/>
    <w:basedOn w:val="Fuentedeprrafopredeter"/>
    <w:uiPriority w:val="99"/>
    <w:semiHidden/>
    <w:unhideWhenUsed/>
    <w:rsid w:val="004C021F"/>
    <w:rPr>
      <w:color w:val="919191" w:themeColor="followedHyperlink"/>
      <w:u w:val="single"/>
    </w:rPr>
  </w:style>
  <w:style w:type="paragraph" w:customStyle="1" w:styleId="Default">
    <w:name w:val="Default"/>
    <w:rsid w:val="004E0691"/>
    <w:pPr>
      <w:autoSpaceDE w:val="0"/>
      <w:autoSpaceDN w:val="0"/>
      <w:adjustRightInd w:val="0"/>
      <w:spacing w:after="0" w:line="240" w:lineRule="auto"/>
    </w:pPr>
    <w:rPr>
      <w:rFonts w:ascii="Times New Roman" w:hAnsi="Times New Roman" w:cs="Times New Roman"/>
      <w:color w:val="000000"/>
      <w:sz w:val="24"/>
      <w:szCs w:val="24"/>
    </w:rPr>
  </w:style>
  <w:style w:type="paragraph" w:styleId="Encabezado">
    <w:name w:val="header"/>
    <w:basedOn w:val="Normal"/>
    <w:link w:val="EncabezadoCar"/>
    <w:uiPriority w:val="99"/>
    <w:unhideWhenUsed/>
    <w:rsid w:val="00EE2FE8"/>
    <w:pPr>
      <w:tabs>
        <w:tab w:val="center" w:pos="4252"/>
        <w:tab w:val="right" w:pos="8504"/>
      </w:tabs>
      <w:spacing w:after="0" w:line="240" w:lineRule="auto"/>
    </w:pPr>
    <w:rPr>
      <w:lang w:val="es-ES_tradnl"/>
    </w:rPr>
  </w:style>
  <w:style w:type="character" w:customStyle="1" w:styleId="EncabezadoCar">
    <w:name w:val="Encabezado Car"/>
    <w:basedOn w:val="Fuentedeprrafopredeter"/>
    <w:link w:val="Encabezado"/>
    <w:uiPriority w:val="99"/>
    <w:rsid w:val="00EE2FE8"/>
    <w:rPr>
      <w:lang w:val="es-ES_tradnl"/>
    </w:rPr>
  </w:style>
  <w:style w:type="character" w:customStyle="1" w:styleId="citation">
    <w:name w:val="citation"/>
    <w:basedOn w:val="Fuentedeprrafopredeter"/>
    <w:rsid w:val="0013688F"/>
  </w:style>
  <w:style w:type="character" w:customStyle="1" w:styleId="reference-accessdate">
    <w:name w:val="reference-accessdate"/>
    <w:basedOn w:val="Fuentedeprrafopredeter"/>
    <w:rsid w:val="0013688F"/>
  </w:style>
  <w:style w:type="character" w:customStyle="1" w:styleId="mw-cite-backlink">
    <w:name w:val="mw-cite-backlink"/>
    <w:basedOn w:val="Fuentedeprrafopredeter"/>
    <w:rsid w:val="0013688F"/>
  </w:style>
  <w:style w:type="character" w:customStyle="1" w:styleId="Ttulo4Car">
    <w:name w:val="Título 4 Car"/>
    <w:basedOn w:val="Fuentedeprrafopredeter"/>
    <w:link w:val="Ttulo4"/>
    <w:uiPriority w:val="9"/>
    <w:rsid w:val="0013688F"/>
    <w:rPr>
      <w:rFonts w:ascii="Times New Roman" w:eastAsia="Times New Roman" w:hAnsi="Times New Roman" w:cs="Times New Roman"/>
      <w:b/>
      <w:bCs/>
      <w:sz w:val="24"/>
      <w:szCs w:val="24"/>
      <w:lang w:eastAsia="es-AR"/>
    </w:rPr>
  </w:style>
  <w:style w:type="paragraph" w:styleId="NormalWeb">
    <w:name w:val="Normal (Web)"/>
    <w:basedOn w:val="Normal"/>
    <w:uiPriority w:val="99"/>
    <w:semiHidden/>
    <w:unhideWhenUsed/>
    <w:rsid w:val="0013688F"/>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Textodeglobo">
    <w:name w:val="Balloon Text"/>
    <w:basedOn w:val="Normal"/>
    <w:link w:val="TextodegloboCar"/>
    <w:uiPriority w:val="99"/>
    <w:semiHidden/>
    <w:unhideWhenUsed/>
    <w:rsid w:val="003447A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447AA"/>
    <w:rPr>
      <w:rFonts w:ascii="Tahoma" w:hAnsi="Tahoma" w:cs="Tahoma"/>
      <w:sz w:val="16"/>
      <w:szCs w:val="16"/>
    </w:rPr>
  </w:style>
  <w:style w:type="character" w:styleId="Refdecomentario">
    <w:name w:val="annotation reference"/>
    <w:basedOn w:val="Fuentedeprrafopredeter"/>
    <w:uiPriority w:val="99"/>
    <w:semiHidden/>
    <w:unhideWhenUsed/>
    <w:rsid w:val="004B5856"/>
    <w:rPr>
      <w:sz w:val="16"/>
      <w:szCs w:val="16"/>
    </w:rPr>
  </w:style>
  <w:style w:type="paragraph" w:styleId="Textocomentario">
    <w:name w:val="annotation text"/>
    <w:basedOn w:val="Normal"/>
    <w:link w:val="TextocomentarioCar"/>
    <w:uiPriority w:val="99"/>
    <w:semiHidden/>
    <w:unhideWhenUsed/>
    <w:rsid w:val="004B585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B5856"/>
    <w:rPr>
      <w:sz w:val="20"/>
      <w:szCs w:val="20"/>
    </w:rPr>
  </w:style>
  <w:style w:type="paragraph" w:styleId="Asuntodelcomentario">
    <w:name w:val="annotation subject"/>
    <w:basedOn w:val="Textocomentario"/>
    <w:next w:val="Textocomentario"/>
    <w:link w:val="AsuntodelcomentarioCar"/>
    <w:uiPriority w:val="99"/>
    <w:semiHidden/>
    <w:unhideWhenUsed/>
    <w:rsid w:val="004B5856"/>
    <w:rPr>
      <w:b/>
      <w:bCs/>
    </w:rPr>
  </w:style>
  <w:style w:type="character" w:customStyle="1" w:styleId="AsuntodelcomentarioCar">
    <w:name w:val="Asunto del comentario Car"/>
    <w:basedOn w:val="TextocomentarioCar"/>
    <w:link w:val="Asuntodelcomentario"/>
    <w:uiPriority w:val="99"/>
    <w:semiHidden/>
    <w:rsid w:val="004B5856"/>
    <w:rPr>
      <w:b/>
      <w:bCs/>
      <w:sz w:val="20"/>
      <w:szCs w:val="20"/>
    </w:rPr>
  </w:style>
  <w:style w:type="character" w:customStyle="1" w:styleId="fundeu-field">
    <w:name w:val="fundeu-field"/>
    <w:basedOn w:val="Fuentedeprrafopredeter"/>
    <w:rsid w:val="00584EAE"/>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revistas.unlp.edu.ar/CADM" TargetMode="External"/><Relationship Id="rId3" Type="http://schemas.microsoft.com/office/2007/relationships/stylesWithEffects" Target="stylesWithEffects.xml"/><Relationship Id="rId7" Type="http://schemas.openxmlformats.org/officeDocument/2006/relationships/hyperlink" Target="mailto:francoghiglione@conicet.gov.a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orcid.org/0000-0001-9239-4753"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Escala de grises">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LkuRRcycAooLsMPrmzrVUrjrJiQ==">AMUW2mWRi+I9oIJTxTrEkK3MkJfc2KTa4NSeQOZjsIAJgsPTRtcUgITG9fySASwh714nv8ehbZrSxz3kOgtAsw1UUvy2pIvmzCBSbmOg2nP9Fd+jG8NiSRuXTopk9XxwVNZuU54QNmUH76Ri/G/7U6veqFz/GQ5QUQ==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9</Pages>
  <Words>4255</Words>
  <Characters>23405</Characters>
  <Application>Microsoft Office Word</Application>
  <DocSecurity>0</DocSecurity>
  <Lines>195</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Franco Ghiglione</dc:creator>
  <cp:lastModifiedBy>Revisor</cp:lastModifiedBy>
  <cp:revision>10</cp:revision>
  <dcterms:created xsi:type="dcterms:W3CDTF">2021-03-15T18:39:00Z</dcterms:created>
  <dcterms:modified xsi:type="dcterms:W3CDTF">2021-06-16T14:12:00Z</dcterms:modified>
</cp:coreProperties>
</file>